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07059" w14:textId="77777777" w:rsidR="00B20ADB" w:rsidRDefault="00B20ADB" w:rsidP="00202696">
      <w:pPr>
        <w:autoSpaceDE w:val="0"/>
        <w:autoSpaceDN w:val="0"/>
        <w:adjustRightInd w:val="0"/>
        <w:spacing w:after="240"/>
        <w:rPr>
          <w:sz w:val="22"/>
          <w:szCs w:val="22"/>
        </w:rPr>
      </w:pPr>
    </w:p>
    <w:p w14:paraId="3734D620" w14:textId="1FD1B559" w:rsidR="007467F6" w:rsidRDefault="00EA0AF8" w:rsidP="00202696">
      <w:pPr>
        <w:autoSpaceDE w:val="0"/>
        <w:autoSpaceDN w:val="0"/>
        <w:adjustRightInd w:val="0"/>
        <w:spacing w:after="240"/>
        <w:rPr>
          <w:color w:val="FF0000"/>
          <w:sz w:val="22"/>
          <w:szCs w:val="22"/>
        </w:rPr>
      </w:pPr>
      <w:r w:rsidRPr="00E419B9">
        <w:rPr>
          <w:color w:val="FF0000"/>
          <w:sz w:val="22"/>
          <w:szCs w:val="22"/>
        </w:rPr>
        <w:t>[</w:t>
      </w:r>
      <w:r w:rsidR="00B20ADB" w:rsidRPr="00E419B9">
        <w:rPr>
          <w:color w:val="FF0000"/>
          <w:sz w:val="22"/>
          <w:szCs w:val="22"/>
        </w:rPr>
        <w:t>Date</w:t>
      </w:r>
      <w:r w:rsidRPr="00E419B9">
        <w:rPr>
          <w:color w:val="FF0000"/>
          <w:sz w:val="22"/>
          <w:szCs w:val="22"/>
        </w:rPr>
        <w:t>]</w:t>
      </w:r>
    </w:p>
    <w:p w14:paraId="4B26E209" w14:textId="48CFECB8" w:rsidR="002028C1" w:rsidRPr="002028C1" w:rsidRDefault="002028C1" w:rsidP="00202696">
      <w:pPr>
        <w:autoSpaceDE w:val="0"/>
        <w:autoSpaceDN w:val="0"/>
        <w:adjustRightInd w:val="0"/>
        <w:spacing w:after="240"/>
        <w:rPr>
          <w:sz w:val="22"/>
          <w:szCs w:val="22"/>
        </w:rPr>
      </w:pPr>
      <w:r w:rsidRPr="002028C1">
        <w:rPr>
          <w:sz w:val="22"/>
          <w:szCs w:val="22"/>
        </w:rPr>
        <w:t>Attn: Appeals Department</w:t>
      </w:r>
    </w:p>
    <w:p w14:paraId="2ECFA0AC" w14:textId="71EF998D" w:rsidR="00B20ADB" w:rsidRPr="00E419B9" w:rsidRDefault="00EA0AF8" w:rsidP="00B20ADB">
      <w:pPr>
        <w:rPr>
          <w:color w:val="FF0000"/>
          <w:sz w:val="22"/>
          <w:szCs w:val="22"/>
        </w:rPr>
      </w:pPr>
      <w:r w:rsidRPr="00E419B9">
        <w:rPr>
          <w:color w:val="FF0000"/>
          <w:sz w:val="22"/>
          <w:szCs w:val="22"/>
        </w:rPr>
        <w:t>[</w:t>
      </w:r>
      <w:r w:rsidR="00B20ADB" w:rsidRPr="00E419B9">
        <w:rPr>
          <w:color w:val="FF0000"/>
          <w:sz w:val="22"/>
          <w:szCs w:val="22"/>
        </w:rPr>
        <w:t>Payer Name</w:t>
      </w:r>
      <w:r w:rsidRPr="00E419B9">
        <w:rPr>
          <w:color w:val="FF0000"/>
          <w:sz w:val="22"/>
          <w:szCs w:val="22"/>
        </w:rPr>
        <w:t>]</w:t>
      </w:r>
    </w:p>
    <w:p w14:paraId="00E05DAF" w14:textId="13820CCD" w:rsidR="00B20ADB" w:rsidRDefault="00EA0AF8" w:rsidP="00B20ADB">
      <w:pPr>
        <w:rPr>
          <w:color w:val="FF0000"/>
          <w:sz w:val="22"/>
          <w:szCs w:val="22"/>
        </w:rPr>
      </w:pPr>
      <w:r w:rsidRPr="00E419B9">
        <w:rPr>
          <w:color w:val="FF0000"/>
          <w:sz w:val="22"/>
          <w:szCs w:val="22"/>
        </w:rPr>
        <w:t>[</w:t>
      </w:r>
      <w:r w:rsidR="00B20ADB" w:rsidRPr="00E419B9">
        <w:rPr>
          <w:color w:val="FF0000"/>
          <w:sz w:val="22"/>
          <w:szCs w:val="22"/>
        </w:rPr>
        <w:t xml:space="preserve">Payer </w:t>
      </w:r>
      <w:r w:rsidR="00CE784E">
        <w:rPr>
          <w:color w:val="FF0000"/>
          <w:sz w:val="22"/>
          <w:szCs w:val="22"/>
        </w:rPr>
        <w:t xml:space="preserve">Street </w:t>
      </w:r>
      <w:r w:rsidR="00B20ADB" w:rsidRPr="00E419B9">
        <w:rPr>
          <w:color w:val="FF0000"/>
          <w:sz w:val="22"/>
          <w:szCs w:val="22"/>
        </w:rPr>
        <w:t>Address</w:t>
      </w:r>
      <w:r w:rsidRPr="00E419B9">
        <w:rPr>
          <w:color w:val="FF0000"/>
          <w:sz w:val="22"/>
          <w:szCs w:val="22"/>
        </w:rPr>
        <w:t>]</w:t>
      </w:r>
    </w:p>
    <w:p w14:paraId="38E10D92" w14:textId="530EE92F" w:rsidR="00CE784E" w:rsidRPr="00E419B9" w:rsidRDefault="00CE784E" w:rsidP="00CE784E">
      <w:pPr>
        <w:rPr>
          <w:color w:val="FF0000"/>
          <w:sz w:val="22"/>
          <w:szCs w:val="22"/>
        </w:rPr>
      </w:pPr>
      <w:r w:rsidRPr="00E419B9">
        <w:rPr>
          <w:color w:val="FF0000"/>
          <w:sz w:val="22"/>
          <w:szCs w:val="22"/>
        </w:rPr>
        <w:t>[</w:t>
      </w:r>
      <w:r>
        <w:rPr>
          <w:color w:val="FF0000"/>
          <w:sz w:val="22"/>
          <w:szCs w:val="22"/>
        </w:rPr>
        <w:t xml:space="preserve">Payer </w:t>
      </w:r>
      <w:r w:rsidRPr="00E419B9">
        <w:rPr>
          <w:color w:val="FF0000"/>
          <w:sz w:val="22"/>
          <w:szCs w:val="22"/>
        </w:rPr>
        <w:t>City, State Zip]</w:t>
      </w:r>
    </w:p>
    <w:p w14:paraId="1E718722" w14:textId="77777777" w:rsidR="00CE784E" w:rsidRPr="00E419B9" w:rsidRDefault="00CE784E" w:rsidP="00B20ADB">
      <w:pPr>
        <w:rPr>
          <w:color w:val="FF0000"/>
          <w:sz w:val="22"/>
          <w:szCs w:val="22"/>
        </w:rPr>
      </w:pPr>
    </w:p>
    <w:p w14:paraId="08F0713A" w14:textId="77777777" w:rsidR="00B20ADB" w:rsidRPr="00496C57" w:rsidRDefault="00B20ADB" w:rsidP="00B20ADB">
      <w:pPr>
        <w:rPr>
          <w:sz w:val="22"/>
          <w:szCs w:val="22"/>
        </w:rPr>
      </w:pPr>
    </w:p>
    <w:p w14:paraId="791F750F" w14:textId="47D63D46" w:rsidR="00B20ADB" w:rsidRDefault="007467F6" w:rsidP="007467F6">
      <w:pPr>
        <w:autoSpaceDE w:val="0"/>
        <w:autoSpaceDN w:val="0"/>
        <w:adjustRightInd w:val="0"/>
        <w:rPr>
          <w:color w:val="FF0000"/>
          <w:sz w:val="22"/>
          <w:szCs w:val="22"/>
        </w:rPr>
      </w:pPr>
      <w:r w:rsidRPr="00496C57">
        <w:rPr>
          <w:sz w:val="22"/>
          <w:szCs w:val="22"/>
        </w:rPr>
        <w:t xml:space="preserve">Re: </w:t>
      </w:r>
      <w:r w:rsidR="00B20ADB" w:rsidRPr="00496C57">
        <w:rPr>
          <w:sz w:val="22"/>
          <w:szCs w:val="22"/>
        </w:rPr>
        <w:tab/>
      </w:r>
      <w:r w:rsidR="00EA0AF8" w:rsidRPr="00E419B9">
        <w:rPr>
          <w:color w:val="FF0000"/>
          <w:sz w:val="22"/>
          <w:szCs w:val="22"/>
        </w:rPr>
        <w:t>[</w:t>
      </w:r>
      <w:r w:rsidR="00B20ADB" w:rsidRPr="00E419B9">
        <w:rPr>
          <w:color w:val="FF0000"/>
          <w:sz w:val="22"/>
          <w:szCs w:val="22"/>
        </w:rPr>
        <w:t xml:space="preserve">Patient </w:t>
      </w:r>
      <w:r w:rsidR="00CE784E">
        <w:rPr>
          <w:color w:val="FF0000"/>
          <w:sz w:val="22"/>
          <w:szCs w:val="22"/>
        </w:rPr>
        <w:t xml:space="preserve">Full </w:t>
      </w:r>
      <w:r w:rsidR="00B20ADB" w:rsidRPr="00E419B9">
        <w:rPr>
          <w:color w:val="FF0000"/>
          <w:sz w:val="22"/>
          <w:szCs w:val="22"/>
        </w:rPr>
        <w:t>Name</w:t>
      </w:r>
      <w:r w:rsidR="00EA0AF8" w:rsidRPr="00E419B9">
        <w:rPr>
          <w:color w:val="FF0000"/>
          <w:sz w:val="22"/>
          <w:szCs w:val="22"/>
        </w:rPr>
        <w:t>]</w:t>
      </w:r>
    </w:p>
    <w:p w14:paraId="00F99255" w14:textId="291AD211" w:rsidR="00CE784E" w:rsidRDefault="00CE784E" w:rsidP="00CE784E">
      <w:pPr>
        <w:autoSpaceDE w:val="0"/>
        <w:autoSpaceDN w:val="0"/>
        <w:adjustRightInd w:val="0"/>
        <w:ind w:firstLine="720"/>
        <w:rPr>
          <w:color w:val="FF0000"/>
          <w:sz w:val="22"/>
          <w:szCs w:val="22"/>
        </w:rPr>
      </w:pPr>
      <w:r>
        <w:rPr>
          <w:color w:val="FF0000"/>
          <w:sz w:val="22"/>
          <w:szCs w:val="22"/>
        </w:rPr>
        <w:t>[Patient Date of Birth]</w:t>
      </w:r>
    </w:p>
    <w:p w14:paraId="04F9AEBF" w14:textId="33E3A8B4" w:rsidR="00CE784E" w:rsidRPr="00E419B9" w:rsidRDefault="00CE784E" w:rsidP="00CE784E">
      <w:pPr>
        <w:autoSpaceDE w:val="0"/>
        <w:autoSpaceDN w:val="0"/>
        <w:adjustRightInd w:val="0"/>
        <w:ind w:firstLine="720"/>
        <w:rPr>
          <w:color w:val="FF0000"/>
          <w:sz w:val="22"/>
          <w:szCs w:val="22"/>
        </w:rPr>
      </w:pPr>
      <w:r>
        <w:rPr>
          <w:color w:val="FF0000"/>
          <w:sz w:val="22"/>
          <w:szCs w:val="22"/>
        </w:rPr>
        <w:t>[Patient Member ID]</w:t>
      </w:r>
    </w:p>
    <w:p w14:paraId="49D6A7DA" w14:textId="0389211E" w:rsidR="00B20ADB" w:rsidRPr="00E419B9" w:rsidRDefault="00B20ADB" w:rsidP="007467F6">
      <w:pPr>
        <w:autoSpaceDE w:val="0"/>
        <w:autoSpaceDN w:val="0"/>
        <w:adjustRightInd w:val="0"/>
        <w:rPr>
          <w:color w:val="FF0000"/>
          <w:sz w:val="22"/>
          <w:szCs w:val="22"/>
        </w:rPr>
      </w:pPr>
      <w:r w:rsidRPr="00E419B9">
        <w:rPr>
          <w:color w:val="FF0000"/>
          <w:sz w:val="22"/>
          <w:szCs w:val="22"/>
        </w:rPr>
        <w:tab/>
      </w:r>
      <w:r w:rsidR="00EA0AF8" w:rsidRPr="00E419B9">
        <w:rPr>
          <w:color w:val="FF0000"/>
          <w:sz w:val="22"/>
          <w:szCs w:val="22"/>
        </w:rPr>
        <w:t>[</w:t>
      </w:r>
      <w:r w:rsidRPr="00E419B9">
        <w:rPr>
          <w:color w:val="FF0000"/>
          <w:sz w:val="22"/>
          <w:szCs w:val="22"/>
        </w:rPr>
        <w:t>Patient Policy</w:t>
      </w:r>
      <w:r w:rsidR="00CE784E">
        <w:rPr>
          <w:color w:val="FF0000"/>
          <w:sz w:val="22"/>
          <w:szCs w:val="22"/>
        </w:rPr>
        <w:t>/Group</w:t>
      </w:r>
      <w:r w:rsidRPr="00E419B9">
        <w:rPr>
          <w:color w:val="FF0000"/>
          <w:sz w:val="22"/>
          <w:szCs w:val="22"/>
        </w:rPr>
        <w:t xml:space="preserve"> Number</w:t>
      </w:r>
      <w:r w:rsidR="00EA0AF8" w:rsidRPr="00E419B9">
        <w:rPr>
          <w:color w:val="FF0000"/>
          <w:sz w:val="22"/>
          <w:szCs w:val="22"/>
        </w:rPr>
        <w:t>]</w:t>
      </w:r>
    </w:p>
    <w:p w14:paraId="1BC3E816" w14:textId="59FAEA61" w:rsidR="00B20ADB" w:rsidRDefault="00B20ADB" w:rsidP="007467F6">
      <w:pPr>
        <w:autoSpaceDE w:val="0"/>
        <w:autoSpaceDN w:val="0"/>
        <w:adjustRightInd w:val="0"/>
        <w:rPr>
          <w:color w:val="FF0000"/>
          <w:sz w:val="22"/>
          <w:szCs w:val="22"/>
        </w:rPr>
      </w:pPr>
      <w:r w:rsidRPr="00E419B9">
        <w:rPr>
          <w:color w:val="FF0000"/>
          <w:sz w:val="22"/>
          <w:szCs w:val="22"/>
        </w:rPr>
        <w:tab/>
      </w:r>
      <w:r w:rsidR="00EA0AF8" w:rsidRPr="00E419B9">
        <w:rPr>
          <w:color w:val="FF0000"/>
          <w:sz w:val="22"/>
          <w:szCs w:val="22"/>
        </w:rPr>
        <w:t>[</w:t>
      </w:r>
      <w:r w:rsidR="00CE784E">
        <w:rPr>
          <w:color w:val="FF0000"/>
          <w:sz w:val="22"/>
          <w:szCs w:val="22"/>
        </w:rPr>
        <w:t xml:space="preserve">Prior Authorization or </w:t>
      </w:r>
      <w:r w:rsidRPr="00E419B9">
        <w:rPr>
          <w:color w:val="FF0000"/>
          <w:sz w:val="22"/>
          <w:szCs w:val="22"/>
        </w:rPr>
        <w:t>Claim Number</w:t>
      </w:r>
      <w:r w:rsidR="00EA0AF8" w:rsidRPr="00E419B9">
        <w:rPr>
          <w:color w:val="FF0000"/>
          <w:sz w:val="22"/>
          <w:szCs w:val="22"/>
        </w:rPr>
        <w:t>]</w:t>
      </w:r>
    </w:p>
    <w:p w14:paraId="09FE829A" w14:textId="4873CCFA" w:rsidR="00CE784E" w:rsidRPr="00E419B9" w:rsidRDefault="00CE784E" w:rsidP="00CE784E">
      <w:pPr>
        <w:autoSpaceDE w:val="0"/>
        <w:autoSpaceDN w:val="0"/>
        <w:adjustRightInd w:val="0"/>
        <w:ind w:firstLine="720"/>
        <w:rPr>
          <w:color w:val="FF0000"/>
          <w:sz w:val="22"/>
          <w:szCs w:val="22"/>
        </w:rPr>
      </w:pPr>
      <w:r>
        <w:rPr>
          <w:color w:val="FF0000"/>
          <w:sz w:val="22"/>
          <w:szCs w:val="22"/>
        </w:rPr>
        <w:t>[Patient Diagnosis/ICD-10]</w:t>
      </w:r>
    </w:p>
    <w:p w14:paraId="483CFB87" w14:textId="3AA7FCC7" w:rsidR="00B20ADB" w:rsidRPr="00E419B9" w:rsidRDefault="00B20ADB" w:rsidP="007467F6">
      <w:pPr>
        <w:autoSpaceDE w:val="0"/>
        <w:autoSpaceDN w:val="0"/>
        <w:adjustRightInd w:val="0"/>
        <w:rPr>
          <w:color w:val="FF0000"/>
          <w:sz w:val="22"/>
          <w:szCs w:val="22"/>
        </w:rPr>
      </w:pPr>
      <w:r w:rsidRPr="00E419B9">
        <w:rPr>
          <w:color w:val="FF0000"/>
          <w:sz w:val="22"/>
          <w:szCs w:val="22"/>
        </w:rPr>
        <w:tab/>
      </w:r>
      <w:r w:rsidR="00EA0AF8" w:rsidRPr="00E419B9">
        <w:rPr>
          <w:color w:val="FF0000"/>
          <w:sz w:val="22"/>
          <w:szCs w:val="22"/>
        </w:rPr>
        <w:t>[</w:t>
      </w:r>
      <w:r w:rsidRPr="00E419B9">
        <w:rPr>
          <w:color w:val="FF0000"/>
          <w:sz w:val="22"/>
          <w:szCs w:val="22"/>
        </w:rPr>
        <w:t>Date(s) of Service</w:t>
      </w:r>
      <w:r w:rsidR="00EA0AF8" w:rsidRPr="00E419B9">
        <w:rPr>
          <w:color w:val="FF0000"/>
          <w:sz w:val="22"/>
          <w:szCs w:val="22"/>
        </w:rPr>
        <w:t>]</w:t>
      </w:r>
    </w:p>
    <w:p w14:paraId="103E0EE0" w14:textId="1EB53765" w:rsidR="007467F6" w:rsidRPr="00496C57" w:rsidRDefault="00CE784E" w:rsidP="007467F6">
      <w:pPr>
        <w:autoSpaceDE w:val="0"/>
        <w:autoSpaceDN w:val="0"/>
        <w:adjustRightInd w:val="0"/>
        <w:rPr>
          <w:sz w:val="22"/>
          <w:szCs w:val="22"/>
        </w:rPr>
      </w:pPr>
      <w:r>
        <w:rPr>
          <w:sz w:val="22"/>
          <w:szCs w:val="22"/>
        </w:rPr>
        <w:tab/>
      </w:r>
      <w:r>
        <w:rPr>
          <w:sz w:val="22"/>
          <w:szCs w:val="22"/>
        </w:rPr>
        <w:tab/>
      </w:r>
    </w:p>
    <w:p w14:paraId="43140B20" w14:textId="4C89F3C8" w:rsidR="007467F6" w:rsidRPr="00496C57" w:rsidRDefault="00E419B9" w:rsidP="007467F6">
      <w:pPr>
        <w:autoSpaceDE w:val="0"/>
        <w:autoSpaceDN w:val="0"/>
        <w:adjustRightInd w:val="0"/>
        <w:rPr>
          <w:sz w:val="22"/>
          <w:szCs w:val="22"/>
        </w:rPr>
      </w:pPr>
      <w:r>
        <w:rPr>
          <w:sz w:val="22"/>
          <w:szCs w:val="22"/>
        </w:rPr>
        <w:t xml:space="preserve">To Whom </w:t>
      </w:r>
      <w:r w:rsidR="00ED7E1A">
        <w:rPr>
          <w:sz w:val="22"/>
          <w:szCs w:val="22"/>
        </w:rPr>
        <w:t>I</w:t>
      </w:r>
      <w:r>
        <w:rPr>
          <w:sz w:val="22"/>
          <w:szCs w:val="22"/>
        </w:rPr>
        <w:t>t May Concern</w:t>
      </w:r>
      <w:r w:rsidR="007467F6" w:rsidRPr="00496C57">
        <w:rPr>
          <w:sz w:val="22"/>
          <w:szCs w:val="22"/>
        </w:rPr>
        <w:t>:</w:t>
      </w:r>
    </w:p>
    <w:p w14:paraId="37CD583B" w14:textId="77777777" w:rsidR="007467F6" w:rsidRPr="00496C57" w:rsidRDefault="007467F6" w:rsidP="007467F6">
      <w:pPr>
        <w:autoSpaceDE w:val="0"/>
        <w:autoSpaceDN w:val="0"/>
        <w:adjustRightInd w:val="0"/>
        <w:rPr>
          <w:sz w:val="22"/>
          <w:szCs w:val="22"/>
        </w:rPr>
      </w:pPr>
    </w:p>
    <w:p w14:paraId="398B2A4B" w14:textId="428398C8" w:rsidR="007467F6" w:rsidRPr="00496C57" w:rsidRDefault="007467F6" w:rsidP="007467F6">
      <w:pPr>
        <w:autoSpaceDE w:val="0"/>
        <w:autoSpaceDN w:val="0"/>
        <w:adjustRightInd w:val="0"/>
        <w:rPr>
          <w:sz w:val="22"/>
          <w:szCs w:val="22"/>
        </w:rPr>
      </w:pPr>
      <w:r w:rsidRPr="00496C57">
        <w:rPr>
          <w:sz w:val="22"/>
          <w:szCs w:val="22"/>
        </w:rPr>
        <w:t xml:space="preserve">This letter serves as a request for reconsideration of payment of a denied </w:t>
      </w:r>
      <w:r w:rsidR="00CE784E" w:rsidRPr="00CE784E">
        <w:rPr>
          <w:color w:val="FF0000"/>
          <w:sz w:val="22"/>
          <w:szCs w:val="22"/>
        </w:rPr>
        <w:t>[Prior Authorization/C</w:t>
      </w:r>
      <w:r w:rsidRPr="00CE784E">
        <w:rPr>
          <w:color w:val="FF0000"/>
          <w:sz w:val="22"/>
          <w:szCs w:val="22"/>
        </w:rPr>
        <w:t>laim</w:t>
      </w:r>
      <w:r w:rsidR="00CE784E" w:rsidRPr="00CE784E">
        <w:rPr>
          <w:color w:val="FF0000"/>
          <w:sz w:val="22"/>
          <w:szCs w:val="22"/>
        </w:rPr>
        <w:t>]</w:t>
      </w:r>
      <w:r w:rsidRPr="00CE784E">
        <w:rPr>
          <w:color w:val="FF0000"/>
          <w:sz w:val="22"/>
          <w:szCs w:val="22"/>
        </w:rPr>
        <w:t xml:space="preserve"> </w:t>
      </w:r>
      <w:r w:rsidRPr="00496C57">
        <w:rPr>
          <w:sz w:val="22"/>
          <w:szCs w:val="22"/>
        </w:rPr>
        <w:t xml:space="preserve">for </w:t>
      </w:r>
      <w:proofErr w:type="spellStart"/>
      <w:r w:rsidR="00647F7B">
        <w:rPr>
          <w:sz w:val="22"/>
          <w:szCs w:val="22"/>
        </w:rPr>
        <w:t>SMOFlipid</w:t>
      </w:r>
      <w:proofErr w:type="spellEnd"/>
      <w:r w:rsidR="00647F7B">
        <w:rPr>
          <w:sz w:val="22"/>
          <w:szCs w:val="22"/>
        </w:rPr>
        <w:t>® (Lipid Injectable Emulsion, USP 20%)</w:t>
      </w:r>
      <w:r w:rsidRPr="00496C57">
        <w:rPr>
          <w:color w:val="211D1E"/>
          <w:sz w:val="22"/>
          <w:szCs w:val="22"/>
        </w:rPr>
        <w:t xml:space="preserve">, </w:t>
      </w:r>
      <w:r w:rsidR="00E419B9">
        <w:rPr>
          <w:color w:val="211D1E"/>
          <w:sz w:val="22"/>
          <w:szCs w:val="22"/>
        </w:rPr>
        <w:t>for</w:t>
      </w:r>
      <w:r w:rsidR="00B20ADB" w:rsidRPr="00496C57">
        <w:rPr>
          <w:sz w:val="22"/>
          <w:szCs w:val="22"/>
        </w:rPr>
        <w:t xml:space="preserve"> </w:t>
      </w:r>
      <w:r w:rsidR="00EA0AF8" w:rsidRPr="00E419B9">
        <w:rPr>
          <w:color w:val="FF0000"/>
          <w:sz w:val="22"/>
          <w:szCs w:val="22"/>
        </w:rPr>
        <w:t>[</w:t>
      </w:r>
      <w:r w:rsidR="00B20ADB" w:rsidRPr="00E419B9">
        <w:rPr>
          <w:color w:val="FF0000"/>
          <w:sz w:val="22"/>
          <w:szCs w:val="22"/>
        </w:rPr>
        <w:t>Patient Name</w:t>
      </w:r>
      <w:r w:rsidR="008828A3" w:rsidRPr="00E419B9">
        <w:rPr>
          <w:color w:val="FF0000"/>
          <w:sz w:val="22"/>
          <w:szCs w:val="22"/>
        </w:rPr>
        <w:t>]</w:t>
      </w:r>
      <w:r w:rsidRPr="00E419B9">
        <w:rPr>
          <w:color w:val="FF0000"/>
          <w:sz w:val="22"/>
          <w:szCs w:val="22"/>
        </w:rPr>
        <w:t xml:space="preserve"> </w:t>
      </w:r>
      <w:r w:rsidRPr="00496C57">
        <w:rPr>
          <w:sz w:val="22"/>
          <w:szCs w:val="22"/>
        </w:rPr>
        <w:t xml:space="preserve">on </w:t>
      </w:r>
      <w:r w:rsidR="008828A3" w:rsidRPr="00E419B9">
        <w:rPr>
          <w:color w:val="FF0000"/>
          <w:sz w:val="22"/>
          <w:szCs w:val="22"/>
        </w:rPr>
        <w:t>[</w:t>
      </w:r>
      <w:r w:rsidR="00B20ADB" w:rsidRPr="00E419B9">
        <w:rPr>
          <w:color w:val="FF0000"/>
          <w:sz w:val="22"/>
          <w:szCs w:val="22"/>
        </w:rPr>
        <w:t>Date(s) of Service</w:t>
      </w:r>
      <w:r w:rsidR="00EA0AF8" w:rsidRPr="00E419B9">
        <w:rPr>
          <w:color w:val="FF0000"/>
          <w:sz w:val="22"/>
          <w:szCs w:val="22"/>
        </w:rPr>
        <w:t>]</w:t>
      </w:r>
      <w:r w:rsidRPr="00496C57">
        <w:rPr>
          <w:sz w:val="22"/>
          <w:szCs w:val="22"/>
        </w:rPr>
        <w:t>.</w:t>
      </w:r>
    </w:p>
    <w:p w14:paraId="21A348EA" w14:textId="77777777" w:rsidR="007467F6" w:rsidRPr="00496C57" w:rsidRDefault="007467F6" w:rsidP="007467F6">
      <w:pPr>
        <w:autoSpaceDE w:val="0"/>
        <w:autoSpaceDN w:val="0"/>
        <w:adjustRightInd w:val="0"/>
        <w:rPr>
          <w:sz w:val="22"/>
          <w:szCs w:val="22"/>
        </w:rPr>
      </w:pPr>
    </w:p>
    <w:p w14:paraId="30CF8A4B" w14:textId="50F5A259" w:rsidR="007467F6" w:rsidRPr="00496C57" w:rsidRDefault="007467F6" w:rsidP="007467F6">
      <w:pPr>
        <w:rPr>
          <w:sz w:val="22"/>
          <w:szCs w:val="22"/>
        </w:rPr>
      </w:pPr>
      <w:r w:rsidRPr="00496C57">
        <w:rPr>
          <w:sz w:val="22"/>
          <w:szCs w:val="22"/>
        </w:rPr>
        <w:t>This patient has been unde</w:t>
      </w:r>
      <w:r w:rsidR="00BF3725" w:rsidRPr="00496C57">
        <w:rPr>
          <w:sz w:val="22"/>
          <w:szCs w:val="22"/>
        </w:rPr>
        <w:t xml:space="preserve">r my care for the treatment of </w:t>
      </w:r>
      <w:r w:rsidR="006165EB" w:rsidRPr="00E419B9">
        <w:rPr>
          <w:color w:val="FF0000"/>
          <w:sz w:val="22"/>
          <w:szCs w:val="22"/>
        </w:rPr>
        <w:t>[</w:t>
      </w:r>
      <w:r w:rsidR="00B20ADB" w:rsidRPr="00E419B9">
        <w:rPr>
          <w:color w:val="FF0000"/>
          <w:sz w:val="22"/>
          <w:szCs w:val="22"/>
        </w:rPr>
        <w:t>patient diagnosis</w:t>
      </w:r>
      <w:r w:rsidR="006165EB" w:rsidRPr="00E419B9">
        <w:rPr>
          <w:color w:val="FF0000"/>
          <w:sz w:val="22"/>
          <w:szCs w:val="22"/>
        </w:rPr>
        <w:t>]</w:t>
      </w:r>
      <w:r w:rsidRPr="00496C57">
        <w:rPr>
          <w:rFonts w:eastAsia="Times New Roman"/>
          <w:sz w:val="22"/>
          <w:szCs w:val="22"/>
        </w:rPr>
        <w:t xml:space="preserve">, which increases the patient’s risk </w:t>
      </w:r>
      <w:r w:rsidRPr="00647F7B">
        <w:rPr>
          <w:rFonts w:eastAsia="Times New Roman"/>
          <w:sz w:val="22"/>
          <w:szCs w:val="22"/>
        </w:rPr>
        <w:t>of</w:t>
      </w:r>
      <w:r w:rsidRPr="00647F7B">
        <w:rPr>
          <w:rFonts w:eastAsia="Times New Roman"/>
          <w:color w:val="FF0000"/>
          <w:sz w:val="22"/>
          <w:szCs w:val="22"/>
        </w:rPr>
        <w:t xml:space="preserve"> </w:t>
      </w:r>
      <w:r w:rsidR="00647F7B" w:rsidRPr="00647F7B">
        <w:rPr>
          <w:rFonts w:eastAsia="Times New Roman"/>
          <w:color w:val="FF0000"/>
          <w:sz w:val="22"/>
          <w:szCs w:val="22"/>
        </w:rPr>
        <w:t xml:space="preserve">[insert condition </w:t>
      </w:r>
      <w:proofErr w:type="spellStart"/>
      <w:r w:rsidR="00647F7B" w:rsidRPr="00647F7B">
        <w:rPr>
          <w:rFonts w:eastAsia="Times New Roman"/>
          <w:color w:val="FF0000"/>
          <w:sz w:val="22"/>
          <w:szCs w:val="22"/>
        </w:rPr>
        <w:t>ie</w:t>
      </w:r>
      <w:proofErr w:type="spellEnd"/>
      <w:r w:rsidR="00647F7B" w:rsidRPr="00647F7B">
        <w:rPr>
          <w:rFonts w:eastAsia="Times New Roman"/>
          <w:color w:val="FF0000"/>
          <w:sz w:val="22"/>
          <w:szCs w:val="22"/>
        </w:rPr>
        <w:t xml:space="preserve"> malnutrition].</w:t>
      </w:r>
      <w:r w:rsidR="00562544" w:rsidRPr="00647F7B">
        <w:rPr>
          <w:rFonts w:eastAsia="Times New Roman"/>
          <w:color w:val="FF0000"/>
          <w:sz w:val="22"/>
          <w:szCs w:val="22"/>
        </w:rPr>
        <w:t xml:space="preserve"> </w:t>
      </w:r>
      <w:r w:rsidRPr="00496C57">
        <w:rPr>
          <w:sz w:val="22"/>
          <w:szCs w:val="22"/>
        </w:rPr>
        <w:t xml:space="preserve">You have indicated that </w:t>
      </w:r>
      <w:proofErr w:type="spellStart"/>
      <w:r w:rsidR="00647F7B">
        <w:rPr>
          <w:sz w:val="22"/>
          <w:szCs w:val="22"/>
        </w:rPr>
        <w:t>SMOFlipid</w:t>
      </w:r>
      <w:proofErr w:type="spellEnd"/>
      <w:r w:rsidR="00103922" w:rsidRPr="00103922">
        <w:rPr>
          <w:rFonts w:cstheme="minorHAnsi"/>
          <w:sz w:val="22"/>
          <w:szCs w:val="22"/>
          <w:vertAlign w:val="superscript"/>
        </w:rPr>
        <w:t>®</w:t>
      </w:r>
      <w:r w:rsidRPr="00496C57">
        <w:rPr>
          <w:sz w:val="22"/>
          <w:szCs w:val="22"/>
        </w:rPr>
        <w:t xml:space="preserve"> is not cove</w:t>
      </w:r>
      <w:r w:rsidR="008B1CD2" w:rsidRPr="00496C57">
        <w:rPr>
          <w:sz w:val="22"/>
          <w:szCs w:val="22"/>
        </w:rPr>
        <w:t xml:space="preserve">red because </w:t>
      </w:r>
      <w:r w:rsidR="00235F8C" w:rsidRPr="00E419B9">
        <w:rPr>
          <w:color w:val="FF0000"/>
          <w:sz w:val="22"/>
          <w:szCs w:val="22"/>
        </w:rPr>
        <w:t>[</w:t>
      </w:r>
      <w:r w:rsidR="00B20ADB" w:rsidRPr="00E419B9">
        <w:rPr>
          <w:color w:val="FF0000"/>
          <w:sz w:val="22"/>
          <w:szCs w:val="22"/>
        </w:rPr>
        <w:t>reason for denial</w:t>
      </w:r>
      <w:r w:rsidR="00235F8C" w:rsidRPr="00E419B9">
        <w:rPr>
          <w:color w:val="FF0000"/>
          <w:sz w:val="22"/>
          <w:szCs w:val="22"/>
        </w:rPr>
        <w:t>]</w:t>
      </w:r>
      <w:r w:rsidR="008B1CD2" w:rsidRPr="00496C57">
        <w:rPr>
          <w:sz w:val="22"/>
          <w:szCs w:val="22"/>
        </w:rPr>
        <w:t>.</w:t>
      </w:r>
    </w:p>
    <w:p w14:paraId="04AA3426" w14:textId="77777777" w:rsidR="00562544" w:rsidRPr="00496C57" w:rsidRDefault="00562544" w:rsidP="007467F6">
      <w:pPr>
        <w:rPr>
          <w:rFonts w:eastAsia="Times New Roman"/>
          <w:sz w:val="22"/>
          <w:szCs w:val="22"/>
        </w:rPr>
      </w:pPr>
    </w:p>
    <w:p w14:paraId="30D1E45F" w14:textId="6386E2A0" w:rsidR="007467F6" w:rsidRPr="00CE784E" w:rsidRDefault="00EA0AF8" w:rsidP="007467F6">
      <w:pPr>
        <w:rPr>
          <w:rFonts w:eastAsia="Times New Roman"/>
          <w:color w:val="FF0000"/>
          <w:sz w:val="22"/>
          <w:szCs w:val="22"/>
        </w:rPr>
      </w:pPr>
      <w:r w:rsidRPr="00CE784E">
        <w:rPr>
          <w:rFonts w:eastAsia="Times New Roman"/>
          <w:color w:val="FF0000"/>
          <w:sz w:val="22"/>
          <w:szCs w:val="22"/>
        </w:rPr>
        <w:t>[</w:t>
      </w:r>
      <w:r w:rsidR="0087772C" w:rsidRPr="00CE784E">
        <w:rPr>
          <w:rFonts w:eastAsia="Times New Roman"/>
          <w:color w:val="FF0000"/>
          <w:sz w:val="22"/>
          <w:szCs w:val="22"/>
        </w:rPr>
        <w:t>Briefly describe</w:t>
      </w:r>
      <w:r w:rsidR="00B20ADB" w:rsidRPr="00CE784E">
        <w:rPr>
          <w:rFonts w:eastAsia="Times New Roman"/>
          <w:color w:val="FF0000"/>
          <w:sz w:val="22"/>
          <w:szCs w:val="22"/>
        </w:rPr>
        <w:t xml:space="preserve"> patient’s symptoms, therapy to date, and any other pertinent information</w:t>
      </w:r>
      <w:r w:rsidR="00CE784E">
        <w:rPr>
          <w:rFonts w:eastAsia="Times New Roman"/>
          <w:color w:val="FF0000"/>
          <w:sz w:val="22"/>
          <w:szCs w:val="22"/>
        </w:rPr>
        <w:t xml:space="preserve">, including </w:t>
      </w:r>
      <w:r w:rsidR="00CE784E" w:rsidRPr="00CE784E">
        <w:rPr>
          <w:rFonts w:eastAsia="Times New Roman"/>
          <w:color w:val="FF0000"/>
          <w:sz w:val="22"/>
          <w:szCs w:val="22"/>
        </w:rPr>
        <w:t>how</w:t>
      </w:r>
      <w:r w:rsidR="00B20ADB" w:rsidRPr="00CE784E">
        <w:rPr>
          <w:rFonts w:eastAsia="Times New Roman"/>
          <w:color w:val="FF0000"/>
          <w:sz w:val="22"/>
          <w:szCs w:val="22"/>
        </w:rPr>
        <w:t xml:space="preserve"> </w:t>
      </w:r>
      <w:proofErr w:type="spellStart"/>
      <w:r w:rsidR="00647F7B">
        <w:rPr>
          <w:color w:val="FF0000"/>
          <w:sz w:val="22"/>
          <w:szCs w:val="22"/>
        </w:rPr>
        <w:t>SMOFlipid</w:t>
      </w:r>
      <w:proofErr w:type="spellEnd"/>
      <w:r w:rsidR="00E419B9" w:rsidRPr="00103922">
        <w:rPr>
          <w:color w:val="FF0000"/>
          <w:sz w:val="22"/>
          <w:szCs w:val="22"/>
          <w:vertAlign w:val="superscript"/>
        </w:rPr>
        <w:t>®</w:t>
      </w:r>
      <w:r w:rsidR="007467F6" w:rsidRPr="00103922">
        <w:rPr>
          <w:rFonts w:eastAsia="Times New Roman"/>
          <w:color w:val="FF0000"/>
          <w:sz w:val="22"/>
          <w:szCs w:val="22"/>
          <w:vertAlign w:val="superscript"/>
        </w:rPr>
        <w:t xml:space="preserve"> </w:t>
      </w:r>
      <w:r w:rsidR="007467F6" w:rsidRPr="00CE784E">
        <w:rPr>
          <w:rFonts w:eastAsia="Times New Roman"/>
          <w:color w:val="FF0000"/>
          <w:sz w:val="22"/>
          <w:szCs w:val="22"/>
        </w:rPr>
        <w:t xml:space="preserve">has </w:t>
      </w:r>
      <w:r w:rsidR="00CE784E" w:rsidRPr="00CE784E">
        <w:rPr>
          <w:rFonts w:eastAsia="Times New Roman"/>
          <w:color w:val="FF0000"/>
          <w:sz w:val="22"/>
          <w:szCs w:val="22"/>
        </w:rPr>
        <w:t>been effective for this specific patient.]</w:t>
      </w:r>
      <w:r w:rsidR="007467F6" w:rsidRPr="00CE784E">
        <w:rPr>
          <w:rFonts w:eastAsia="Times New Roman"/>
          <w:color w:val="FF0000"/>
          <w:sz w:val="22"/>
          <w:szCs w:val="22"/>
        </w:rPr>
        <w:t xml:space="preserve"> </w:t>
      </w:r>
    </w:p>
    <w:p w14:paraId="62F7878F" w14:textId="77777777" w:rsidR="007467F6" w:rsidRPr="00496C57" w:rsidRDefault="007467F6" w:rsidP="007467F6">
      <w:pPr>
        <w:autoSpaceDE w:val="0"/>
        <w:autoSpaceDN w:val="0"/>
        <w:adjustRightInd w:val="0"/>
        <w:rPr>
          <w:sz w:val="22"/>
          <w:szCs w:val="22"/>
        </w:rPr>
      </w:pPr>
    </w:p>
    <w:p w14:paraId="70EE8E7D" w14:textId="2736DCBA" w:rsidR="007467F6" w:rsidRPr="00496C57" w:rsidRDefault="007467F6" w:rsidP="007467F6">
      <w:pPr>
        <w:autoSpaceDE w:val="0"/>
        <w:autoSpaceDN w:val="0"/>
        <w:adjustRightInd w:val="0"/>
        <w:rPr>
          <w:sz w:val="22"/>
          <w:szCs w:val="22"/>
        </w:rPr>
      </w:pPr>
      <w:r w:rsidRPr="00496C57">
        <w:rPr>
          <w:sz w:val="22"/>
          <w:szCs w:val="22"/>
        </w:rPr>
        <w:t>The attached</w:t>
      </w:r>
      <w:r w:rsidR="00AC5134">
        <w:rPr>
          <w:sz w:val="22"/>
          <w:szCs w:val="22"/>
        </w:rPr>
        <w:t xml:space="preserve"> </w:t>
      </w:r>
      <w:r w:rsidR="00647F7B">
        <w:rPr>
          <w:sz w:val="22"/>
          <w:szCs w:val="22"/>
        </w:rPr>
        <w:t xml:space="preserve">Brief Summary </w:t>
      </w:r>
      <w:r w:rsidRPr="00496C57">
        <w:rPr>
          <w:sz w:val="22"/>
          <w:szCs w:val="22"/>
        </w:rPr>
        <w:t xml:space="preserve">provides the approved clinical information for </w:t>
      </w:r>
      <w:proofErr w:type="spellStart"/>
      <w:r w:rsidR="00647F7B">
        <w:rPr>
          <w:sz w:val="22"/>
          <w:szCs w:val="22"/>
        </w:rPr>
        <w:t>SMOFlipid</w:t>
      </w:r>
      <w:proofErr w:type="spellEnd"/>
      <w:r w:rsidR="00103922" w:rsidRPr="00103922">
        <w:rPr>
          <w:rFonts w:cstheme="minorHAnsi"/>
          <w:sz w:val="22"/>
          <w:szCs w:val="22"/>
          <w:vertAlign w:val="superscript"/>
        </w:rPr>
        <w:t>®</w:t>
      </w:r>
      <w:r w:rsidR="00235F8C" w:rsidRPr="00103922">
        <w:rPr>
          <w:sz w:val="22"/>
          <w:szCs w:val="22"/>
        </w:rPr>
        <w:t>.</w:t>
      </w:r>
      <w:r w:rsidR="00F1698D">
        <w:rPr>
          <w:sz w:val="22"/>
          <w:szCs w:val="22"/>
        </w:rPr>
        <w:t xml:space="preserve"> </w:t>
      </w:r>
      <w:proofErr w:type="spellStart"/>
      <w:r w:rsidR="00647F7B">
        <w:rPr>
          <w:sz w:val="22"/>
          <w:szCs w:val="22"/>
        </w:rPr>
        <w:t>SMOFlipid</w:t>
      </w:r>
      <w:proofErr w:type="spellEnd"/>
      <w:r w:rsidR="00103922" w:rsidRPr="00103922">
        <w:rPr>
          <w:rFonts w:cstheme="minorHAnsi"/>
          <w:sz w:val="22"/>
          <w:szCs w:val="22"/>
          <w:vertAlign w:val="superscript"/>
        </w:rPr>
        <w:t>®</w:t>
      </w:r>
      <w:r w:rsidRPr="00496C57">
        <w:rPr>
          <w:sz w:val="22"/>
          <w:szCs w:val="22"/>
        </w:rPr>
        <w:t xml:space="preserve"> has been administered as a medically necessary part of this patient’s treatment. </w:t>
      </w:r>
    </w:p>
    <w:p w14:paraId="3BBB068E" w14:textId="77777777" w:rsidR="00C6711D" w:rsidRDefault="00C6711D" w:rsidP="007467F6">
      <w:pPr>
        <w:autoSpaceDE w:val="0"/>
        <w:autoSpaceDN w:val="0"/>
        <w:adjustRightInd w:val="0"/>
        <w:rPr>
          <w:sz w:val="22"/>
          <w:szCs w:val="22"/>
        </w:rPr>
      </w:pPr>
    </w:p>
    <w:p w14:paraId="1F4A9C67" w14:textId="1FA002B5" w:rsidR="007467F6" w:rsidRPr="00496C57" w:rsidRDefault="007467F6" w:rsidP="007467F6">
      <w:pPr>
        <w:autoSpaceDE w:val="0"/>
        <w:autoSpaceDN w:val="0"/>
        <w:adjustRightInd w:val="0"/>
        <w:rPr>
          <w:sz w:val="22"/>
          <w:szCs w:val="22"/>
        </w:rPr>
      </w:pPr>
      <w:r w:rsidRPr="00496C57">
        <w:rPr>
          <w:sz w:val="22"/>
          <w:szCs w:val="22"/>
        </w:rPr>
        <w:t>I would appreciate reconsideration of coverage for</w:t>
      </w:r>
      <w:r w:rsidR="00907FC7" w:rsidRPr="00496C57">
        <w:rPr>
          <w:sz w:val="22"/>
          <w:szCs w:val="22"/>
        </w:rPr>
        <w:t xml:space="preserve"> the</w:t>
      </w:r>
      <w:r w:rsidRPr="00496C57">
        <w:rPr>
          <w:sz w:val="22"/>
          <w:szCs w:val="22"/>
        </w:rPr>
        <w:t xml:space="preserve"> </w:t>
      </w:r>
      <w:r w:rsidR="00CE784E" w:rsidRPr="00CE784E">
        <w:rPr>
          <w:color w:val="FF0000"/>
          <w:sz w:val="22"/>
          <w:szCs w:val="22"/>
        </w:rPr>
        <w:t xml:space="preserve">[Prior Authorization/Claim] </w:t>
      </w:r>
      <w:r w:rsidR="00CE784E" w:rsidRPr="00CE784E">
        <w:rPr>
          <w:sz w:val="22"/>
          <w:szCs w:val="22"/>
        </w:rPr>
        <w:t>for the</w:t>
      </w:r>
      <w:r w:rsidR="00CE784E">
        <w:rPr>
          <w:sz w:val="22"/>
          <w:szCs w:val="22"/>
        </w:rPr>
        <w:t xml:space="preserve"> dates of service referenced above </w:t>
      </w:r>
      <w:r w:rsidRPr="00496C57">
        <w:rPr>
          <w:sz w:val="22"/>
          <w:szCs w:val="22"/>
        </w:rPr>
        <w:t xml:space="preserve">for </w:t>
      </w:r>
      <w:r w:rsidR="00E419B9" w:rsidRPr="00E419B9">
        <w:rPr>
          <w:color w:val="FF0000"/>
          <w:sz w:val="22"/>
          <w:szCs w:val="22"/>
        </w:rPr>
        <w:t>[</w:t>
      </w:r>
      <w:r w:rsidR="00B20ADB" w:rsidRPr="00E419B9">
        <w:rPr>
          <w:color w:val="FF0000"/>
          <w:sz w:val="22"/>
          <w:szCs w:val="22"/>
        </w:rPr>
        <w:t>Patient Name</w:t>
      </w:r>
      <w:r w:rsidR="00EA0AF8" w:rsidRPr="00E419B9">
        <w:rPr>
          <w:color w:val="FF0000"/>
          <w:sz w:val="22"/>
          <w:szCs w:val="22"/>
        </w:rPr>
        <w:t>]</w:t>
      </w:r>
      <w:r w:rsidRPr="00496C57">
        <w:rPr>
          <w:sz w:val="22"/>
          <w:szCs w:val="22"/>
        </w:rPr>
        <w:t xml:space="preserve">. </w:t>
      </w:r>
    </w:p>
    <w:p w14:paraId="2F085846" w14:textId="77777777" w:rsidR="007467F6" w:rsidRPr="00496C57" w:rsidRDefault="007467F6" w:rsidP="007467F6">
      <w:pPr>
        <w:autoSpaceDE w:val="0"/>
        <w:autoSpaceDN w:val="0"/>
        <w:adjustRightInd w:val="0"/>
        <w:rPr>
          <w:sz w:val="22"/>
          <w:szCs w:val="22"/>
        </w:rPr>
      </w:pPr>
    </w:p>
    <w:p w14:paraId="6BAFF4CE" w14:textId="21AE8DF6" w:rsidR="007467F6" w:rsidRPr="00496C57" w:rsidRDefault="007467F6" w:rsidP="007467F6">
      <w:pPr>
        <w:autoSpaceDE w:val="0"/>
        <w:autoSpaceDN w:val="0"/>
        <w:adjustRightInd w:val="0"/>
        <w:rPr>
          <w:sz w:val="22"/>
          <w:szCs w:val="22"/>
        </w:rPr>
      </w:pPr>
      <w:r w:rsidRPr="00496C57">
        <w:rPr>
          <w:sz w:val="22"/>
          <w:szCs w:val="22"/>
        </w:rPr>
        <w:t>Please contact me at if you require additional information.</w:t>
      </w:r>
    </w:p>
    <w:p w14:paraId="2C6D5BA5" w14:textId="77777777" w:rsidR="007467F6" w:rsidRPr="00496C57" w:rsidRDefault="007467F6" w:rsidP="007467F6">
      <w:pPr>
        <w:autoSpaceDE w:val="0"/>
        <w:autoSpaceDN w:val="0"/>
        <w:adjustRightInd w:val="0"/>
        <w:rPr>
          <w:sz w:val="22"/>
          <w:szCs w:val="22"/>
        </w:rPr>
      </w:pPr>
    </w:p>
    <w:p w14:paraId="584F64D7" w14:textId="77777777" w:rsidR="007467F6" w:rsidRPr="00496C57" w:rsidRDefault="007467F6" w:rsidP="007467F6">
      <w:pPr>
        <w:autoSpaceDE w:val="0"/>
        <w:autoSpaceDN w:val="0"/>
        <w:adjustRightInd w:val="0"/>
        <w:rPr>
          <w:sz w:val="22"/>
          <w:szCs w:val="22"/>
        </w:rPr>
      </w:pPr>
      <w:r w:rsidRPr="00496C57">
        <w:rPr>
          <w:sz w:val="22"/>
          <w:szCs w:val="22"/>
        </w:rPr>
        <w:t>Sincerely,</w:t>
      </w:r>
    </w:p>
    <w:p w14:paraId="7A61876E" w14:textId="0A839AD8" w:rsidR="007467F6" w:rsidRDefault="007467F6" w:rsidP="007467F6">
      <w:pPr>
        <w:autoSpaceDE w:val="0"/>
        <w:autoSpaceDN w:val="0"/>
        <w:adjustRightInd w:val="0"/>
        <w:rPr>
          <w:sz w:val="22"/>
          <w:szCs w:val="22"/>
        </w:rPr>
      </w:pPr>
    </w:p>
    <w:p w14:paraId="75D818FF" w14:textId="58E2055D" w:rsidR="00CE784E" w:rsidRPr="00496C57" w:rsidRDefault="00CE784E" w:rsidP="007467F6">
      <w:pPr>
        <w:autoSpaceDE w:val="0"/>
        <w:autoSpaceDN w:val="0"/>
        <w:adjustRightInd w:val="0"/>
        <w:rPr>
          <w:sz w:val="22"/>
          <w:szCs w:val="22"/>
        </w:rPr>
      </w:pPr>
      <w:r>
        <w:rPr>
          <w:sz w:val="22"/>
          <w:szCs w:val="22"/>
        </w:rPr>
        <w:t>_______________________________</w:t>
      </w:r>
    </w:p>
    <w:p w14:paraId="0F2E5C5E" w14:textId="77777777" w:rsidR="00B20ADB" w:rsidRPr="00496C57" w:rsidRDefault="00B20ADB" w:rsidP="007467F6">
      <w:pPr>
        <w:autoSpaceDE w:val="0"/>
        <w:autoSpaceDN w:val="0"/>
        <w:adjustRightInd w:val="0"/>
        <w:rPr>
          <w:sz w:val="22"/>
          <w:szCs w:val="22"/>
        </w:rPr>
      </w:pPr>
    </w:p>
    <w:p w14:paraId="0A957389" w14:textId="3E07F4B7" w:rsidR="007467F6" w:rsidRDefault="00EA0AF8" w:rsidP="007467F6">
      <w:pPr>
        <w:autoSpaceDE w:val="0"/>
        <w:autoSpaceDN w:val="0"/>
        <w:adjustRightInd w:val="0"/>
        <w:rPr>
          <w:color w:val="FF0000"/>
          <w:sz w:val="22"/>
          <w:szCs w:val="22"/>
        </w:rPr>
      </w:pPr>
      <w:r w:rsidRPr="007351F4">
        <w:rPr>
          <w:color w:val="FF0000"/>
          <w:sz w:val="22"/>
          <w:szCs w:val="22"/>
        </w:rPr>
        <w:t>[</w:t>
      </w:r>
      <w:r w:rsidR="00B20ADB" w:rsidRPr="007351F4">
        <w:rPr>
          <w:color w:val="FF0000"/>
          <w:sz w:val="22"/>
          <w:szCs w:val="22"/>
        </w:rPr>
        <w:t xml:space="preserve">Physician </w:t>
      </w:r>
      <w:r w:rsidR="00B20ADB" w:rsidRPr="00E419B9">
        <w:rPr>
          <w:color w:val="FF0000"/>
          <w:sz w:val="22"/>
          <w:szCs w:val="22"/>
        </w:rPr>
        <w:t>Name</w:t>
      </w:r>
      <w:r w:rsidRPr="00E419B9">
        <w:rPr>
          <w:color w:val="FF0000"/>
          <w:sz w:val="22"/>
          <w:szCs w:val="22"/>
        </w:rPr>
        <w:t>]</w:t>
      </w:r>
    </w:p>
    <w:p w14:paraId="5243EE11" w14:textId="2DCD6C03" w:rsidR="00CE784E" w:rsidRDefault="00CE784E" w:rsidP="007467F6">
      <w:pPr>
        <w:autoSpaceDE w:val="0"/>
        <w:autoSpaceDN w:val="0"/>
        <w:adjustRightInd w:val="0"/>
        <w:rPr>
          <w:color w:val="FF0000"/>
          <w:sz w:val="22"/>
          <w:szCs w:val="22"/>
        </w:rPr>
      </w:pPr>
      <w:r>
        <w:rPr>
          <w:color w:val="FF0000"/>
          <w:sz w:val="22"/>
          <w:szCs w:val="22"/>
        </w:rPr>
        <w:t>[Physician Street Address]</w:t>
      </w:r>
    </w:p>
    <w:p w14:paraId="3CB57214" w14:textId="6428C111" w:rsidR="00CE784E" w:rsidRPr="00E419B9" w:rsidRDefault="00CE784E" w:rsidP="007467F6">
      <w:pPr>
        <w:autoSpaceDE w:val="0"/>
        <w:autoSpaceDN w:val="0"/>
        <w:adjustRightInd w:val="0"/>
        <w:rPr>
          <w:color w:val="FF0000"/>
          <w:sz w:val="22"/>
          <w:szCs w:val="22"/>
        </w:rPr>
      </w:pPr>
      <w:r>
        <w:rPr>
          <w:color w:val="FF0000"/>
          <w:sz w:val="22"/>
          <w:szCs w:val="22"/>
        </w:rPr>
        <w:t>[Physician City, State, Zip]</w:t>
      </w:r>
    </w:p>
    <w:p w14:paraId="5DCA2050" w14:textId="3F5602E1" w:rsidR="00B20ADB" w:rsidRPr="00E419B9" w:rsidRDefault="00EA0AF8" w:rsidP="007467F6">
      <w:pPr>
        <w:autoSpaceDE w:val="0"/>
        <w:autoSpaceDN w:val="0"/>
        <w:adjustRightInd w:val="0"/>
        <w:rPr>
          <w:color w:val="FF0000"/>
          <w:sz w:val="22"/>
          <w:szCs w:val="22"/>
        </w:rPr>
      </w:pPr>
      <w:r w:rsidRPr="00E419B9">
        <w:rPr>
          <w:color w:val="FF0000"/>
          <w:sz w:val="22"/>
          <w:szCs w:val="22"/>
        </w:rPr>
        <w:t>[</w:t>
      </w:r>
      <w:r w:rsidR="00B20ADB" w:rsidRPr="00E419B9">
        <w:rPr>
          <w:color w:val="FF0000"/>
          <w:sz w:val="22"/>
          <w:szCs w:val="22"/>
        </w:rPr>
        <w:t>Participating Provider Number</w:t>
      </w:r>
      <w:r w:rsidRPr="00E419B9">
        <w:rPr>
          <w:color w:val="FF0000"/>
          <w:sz w:val="22"/>
          <w:szCs w:val="22"/>
        </w:rPr>
        <w:t>]</w:t>
      </w:r>
    </w:p>
    <w:p w14:paraId="5E408647" w14:textId="7100DFEF" w:rsidR="00B20ADB" w:rsidRPr="00E419B9" w:rsidRDefault="00E419B9" w:rsidP="008B1CD2">
      <w:pPr>
        <w:autoSpaceDE w:val="0"/>
        <w:autoSpaceDN w:val="0"/>
        <w:adjustRightInd w:val="0"/>
        <w:spacing w:after="360"/>
        <w:rPr>
          <w:color w:val="FF0000"/>
          <w:sz w:val="22"/>
          <w:szCs w:val="22"/>
        </w:rPr>
      </w:pPr>
      <w:r w:rsidRPr="00E419B9">
        <w:rPr>
          <w:color w:val="FF0000"/>
          <w:sz w:val="22"/>
          <w:szCs w:val="22"/>
        </w:rPr>
        <w:t>[Phone Number]</w:t>
      </w:r>
    </w:p>
    <w:p w14:paraId="0C31D91F" w14:textId="03E8CCCA" w:rsidR="008B1CD2" w:rsidRDefault="007467F6" w:rsidP="002028C1">
      <w:pPr>
        <w:autoSpaceDE w:val="0"/>
        <w:autoSpaceDN w:val="0"/>
        <w:adjustRightInd w:val="0"/>
        <w:spacing w:after="360"/>
        <w:rPr>
          <w:color w:val="FF0000"/>
          <w:sz w:val="22"/>
          <w:szCs w:val="22"/>
        </w:rPr>
      </w:pPr>
      <w:r w:rsidRPr="00496C57">
        <w:rPr>
          <w:sz w:val="22"/>
          <w:szCs w:val="22"/>
        </w:rPr>
        <w:t xml:space="preserve">Enclosures </w:t>
      </w:r>
      <w:r w:rsidRPr="00E419B9">
        <w:rPr>
          <w:color w:val="FF0000"/>
          <w:sz w:val="22"/>
          <w:szCs w:val="22"/>
        </w:rPr>
        <w:t xml:space="preserve">[Attach original </w:t>
      </w:r>
      <w:r w:rsidR="00103922">
        <w:rPr>
          <w:color w:val="FF0000"/>
          <w:sz w:val="22"/>
          <w:szCs w:val="22"/>
        </w:rPr>
        <w:t xml:space="preserve">prior authorization or </w:t>
      </w:r>
      <w:r w:rsidRPr="00E419B9">
        <w:rPr>
          <w:color w:val="FF0000"/>
          <w:sz w:val="22"/>
          <w:szCs w:val="22"/>
        </w:rPr>
        <w:t xml:space="preserve">claim form, denial/Explanation of Benefits, </w:t>
      </w:r>
      <w:r w:rsidR="00907FC7" w:rsidRPr="00E419B9">
        <w:rPr>
          <w:color w:val="FF0000"/>
          <w:sz w:val="22"/>
          <w:szCs w:val="22"/>
        </w:rPr>
        <w:t xml:space="preserve">and </w:t>
      </w:r>
      <w:r w:rsidRPr="00E419B9">
        <w:rPr>
          <w:color w:val="FF0000"/>
          <w:sz w:val="22"/>
          <w:szCs w:val="22"/>
        </w:rPr>
        <w:t xml:space="preserve">additional supporting documents </w:t>
      </w:r>
      <w:r w:rsidR="00907FC7" w:rsidRPr="00E419B9">
        <w:rPr>
          <w:color w:val="FF0000"/>
          <w:sz w:val="22"/>
          <w:szCs w:val="22"/>
        </w:rPr>
        <w:t>(</w:t>
      </w:r>
      <w:r w:rsidRPr="00E419B9">
        <w:rPr>
          <w:color w:val="FF0000"/>
          <w:sz w:val="22"/>
          <w:szCs w:val="22"/>
        </w:rPr>
        <w:t>such as patient’s treatment with</w:t>
      </w:r>
      <w:r w:rsidR="00103922">
        <w:rPr>
          <w:color w:val="FF0000"/>
          <w:sz w:val="22"/>
          <w:szCs w:val="22"/>
        </w:rPr>
        <w:t xml:space="preserve"> </w:t>
      </w:r>
      <w:r w:rsidR="00647F7B">
        <w:rPr>
          <w:color w:val="FF0000"/>
          <w:sz w:val="22"/>
          <w:szCs w:val="22"/>
        </w:rPr>
        <w:t>SMOFlipid</w:t>
      </w:r>
      <w:r w:rsidR="00103922" w:rsidRPr="00103922">
        <w:rPr>
          <w:rFonts w:cstheme="minorHAnsi"/>
          <w:color w:val="FF0000"/>
          <w:sz w:val="22"/>
          <w:szCs w:val="22"/>
          <w:vertAlign w:val="superscript"/>
        </w:rPr>
        <w:t>®</w:t>
      </w:r>
      <w:r w:rsidRPr="00E419B9">
        <w:rPr>
          <w:color w:val="FF0000"/>
          <w:sz w:val="22"/>
          <w:szCs w:val="22"/>
        </w:rPr>
        <w:t>, medical history, diagnosis, lab results</w:t>
      </w:r>
      <w:r w:rsidR="006B5A03" w:rsidRPr="00E419B9">
        <w:rPr>
          <w:color w:val="FF0000"/>
          <w:sz w:val="22"/>
          <w:szCs w:val="22"/>
        </w:rPr>
        <w:t>,</w:t>
      </w:r>
      <w:r w:rsidRPr="00E419B9">
        <w:rPr>
          <w:color w:val="FF0000"/>
          <w:sz w:val="22"/>
          <w:szCs w:val="22"/>
        </w:rPr>
        <w:t xml:space="preserve"> </w:t>
      </w:r>
      <w:proofErr w:type="spellStart"/>
      <w:r w:rsidR="00E45399">
        <w:rPr>
          <w:color w:val="FF0000"/>
          <w:sz w:val="22"/>
          <w:szCs w:val="22"/>
        </w:rPr>
        <w:t>SMOFlipid</w:t>
      </w:r>
      <w:proofErr w:type="spellEnd"/>
      <w:r w:rsidR="00E45399">
        <w:rPr>
          <w:color w:val="FF0000"/>
          <w:sz w:val="22"/>
          <w:szCs w:val="22"/>
        </w:rPr>
        <w:t xml:space="preserve"> brief summary of prescribing information and </w:t>
      </w:r>
      <w:r w:rsidRPr="00E419B9">
        <w:rPr>
          <w:color w:val="FF0000"/>
          <w:sz w:val="22"/>
          <w:szCs w:val="22"/>
        </w:rPr>
        <w:t>treatment plan</w:t>
      </w:r>
      <w:r w:rsidR="006B5A03" w:rsidRPr="00E419B9">
        <w:rPr>
          <w:color w:val="FF0000"/>
          <w:sz w:val="22"/>
          <w:szCs w:val="22"/>
        </w:rPr>
        <w:t>)</w:t>
      </w:r>
      <w:r w:rsidR="00AA016A" w:rsidRPr="00E419B9">
        <w:rPr>
          <w:color w:val="FF0000"/>
          <w:sz w:val="22"/>
          <w:szCs w:val="22"/>
        </w:rPr>
        <w:t>.</w:t>
      </w:r>
      <w:r w:rsidR="00EA0AF8" w:rsidRPr="00E419B9">
        <w:rPr>
          <w:color w:val="FF0000"/>
          <w:sz w:val="22"/>
          <w:szCs w:val="22"/>
        </w:rPr>
        <w:t>]</w:t>
      </w:r>
    </w:p>
    <w:p w14:paraId="15052199" w14:textId="00E6B79D" w:rsidR="009D3680" w:rsidRDefault="009D3680" w:rsidP="002028C1">
      <w:pPr>
        <w:autoSpaceDE w:val="0"/>
        <w:autoSpaceDN w:val="0"/>
        <w:adjustRightInd w:val="0"/>
        <w:spacing w:after="360"/>
        <w:rPr>
          <w:color w:val="FF0000"/>
          <w:sz w:val="22"/>
          <w:szCs w:val="22"/>
        </w:rPr>
      </w:pPr>
    </w:p>
    <w:p w14:paraId="256839E8" w14:textId="77777777" w:rsidR="009D3680" w:rsidRPr="0079307E" w:rsidRDefault="009D3680" w:rsidP="009D3680">
      <w:pPr>
        <w:autoSpaceDE w:val="0"/>
        <w:autoSpaceDN w:val="0"/>
        <w:adjustRightInd w:val="0"/>
        <w:jc w:val="both"/>
        <w:rPr>
          <w:rFonts w:cs="Frutiger-BoldCn"/>
          <w:b/>
          <w:bCs/>
          <w:sz w:val="20"/>
          <w:szCs w:val="20"/>
        </w:rPr>
      </w:pPr>
      <w:r w:rsidRPr="0079307E">
        <w:rPr>
          <w:rFonts w:cs="Frutiger-BoldCn"/>
          <w:b/>
          <w:bCs/>
          <w:sz w:val="20"/>
          <w:szCs w:val="20"/>
        </w:rPr>
        <w:t xml:space="preserve">SMOFLIPID (lipid injectable emulsion), for intravenous use </w:t>
      </w:r>
    </w:p>
    <w:p w14:paraId="2A823706" w14:textId="77777777" w:rsidR="009D3680" w:rsidRDefault="009D3680" w:rsidP="009D3680">
      <w:pPr>
        <w:autoSpaceDE w:val="0"/>
        <w:autoSpaceDN w:val="0"/>
        <w:adjustRightInd w:val="0"/>
        <w:jc w:val="both"/>
        <w:rPr>
          <w:rFonts w:cs="Frutiger-BoldCn"/>
          <w:b/>
          <w:bCs/>
          <w:sz w:val="20"/>
          <w:szCs w:val="20"/>
        </w:rPr>
      </w:pPr>
    </w:p>
    <w:p w14:paraId="6085AE6E" w14:textId="77777777" w:rsidR="009D3680" w:rsidRPr="00C42056" w:rsidRDefault="009D3680" w:rsidP="009D3680">
      <w:pPr>
        <w:autoSpaceDE w:val="0"/>
        <w:autoSpaceDN w:val="0"/>
        <w:adjustRightInd w:val="0"/>
        <w:jc w:val="both"/>
        <w:rPr>
          <w:rFonts w:cs="Frutiger-BoldCn"/>
          <w:b/>
          <w:bCs/>
          <w:sz w:val="20"/>
          <w:szCs w:val="20"/>
        </w:rPr>
      </w:pPr>
      <w:r w:rsidRPr="00C42056">
        <w:rPr>
          <w:rFonts w:cs="Frutiger-BoldCn"/>
          <w:b/>
          <w:bCs/>
          <w:sz w:val="20"/>
          <w:szCs w:val="20"/>
        </w:rPr>
        <w:t>BRIEF SUMMARY OF PRESCRIBING INFORMATION</w:t>
      </w:r>
    </w:p>
    <w:p w14:paraId="03819638" w14:textId="77777777" w:rsidR="009D3680" w:rsidRDefault="009D3680" w:rsidP="009D3680">
      <w:pPr>
        <w:rPr>
          <w:rFonts w:eastAsia="Times New Roman" w:cs="Times New Roman"/>
          <w:b/>
          <w:bCs/>
          <w:sz w:val="20"/>
          <w:szCs w:val="20"/>
        </w:rPr>
      </w:pPr>
    </w:p>
    <w:p w14:paraId="1D6C972C" w14:textId="77777777" w:rsidR="009D3680" w:rsidRPr="001813D2" w:rsidRDefault="009D3680" w:rsidP="009D3680">
      <w:pPr>
        <w:rPr>
          <w:sz w:val="20"/>
          <w:szCs w:val="20"/>
        </w:rPr>
      </w:pPr>
      <w:r w:rsidRPr="0079307E">
        <w:rPr>
          <w:rFonts w:eastAsia="Times New Roman" w:cs="Times New Roman"/>
          <w:b/>
          <w:bCs/>
          <w:sz w:val="20"/>
          <w:szCs w:val="20"/>
        </w:rPr>
        <w:t xml:space="preserve">This brief summary does not include all the information needed to use </w:t>
      </w:r>
      <w:proofErr w:type="spellStart"/>
      <w:r w:rsidRPr="0079307E">
        <w:rPr>
          <w:rFonts w:eastAsia="Times New Roman" w:cs="Times New Roman"/>
          <w:b/>
          <w:bCs/>
          <w:sz w:val="20"/>
          <w:szCs w:val="20"/>
        </w:rPr>
        <w:t>S</w:t>
      </w:r>
      <w:r>
        <w:rPr>
          <w:rFonts w:eastAsia="Times New Roman" w:cs="Times New Roman"/>
          <w:b/>
          <w:bCs/>
          <w:sz w:val="20"/>
          <w:szCs w:val="20"/>
        </w:rPr>
        <w:t>MOFl</w:t>
      </w:r>
      <w:r w:rsidRPr="0079307E">
        <w:rPr>
          <w:rFonts w:eastAsia="Times New Roman" w:cs="Times New Roman"/>
          <w:b/>
          <w:bCs/>
          <w:sz w:val="20"/>
          <w:szCs w:val="20"/>
        </w:rPr>
        <w:t>ipid</w:t>
      </w:r>
      <w:proofErr w:type="spellEnd"/>
      <w:r w:rsidRPr="0079307E">
        <w:rPr>
          <w:rFonts w:eastAsia="Times New Roman" w:cs="Times New Roman"/>
          <w:b/>
          <w:bCs/>
          <w:sz w:val="20"/>
          <w:szCs w:val="20"/>
        </w:rPr>
        <w:t xml:space="preserve"> safely and effectively. </w:t>
      </w:r>
      <w:r>
        <w:rPr>
          <w:rFonts w:eastAsia="Times New Roman" w:cs="Times New Roman"/>
          <w:b/>
          <w:bCs/>
          <w:sz w:val="20"/>
          <w:szCs w:val="20"/>
          <w:highlight w:val="yellow"/>
        </w:rPr>
        <w:t xml:space="preserve">Please see full prescribing information, including Boxed Warning for </w:t>
      </w:r>
      <w:proofErr w:type="spellStart"/>
      <w:r>
        <w:rPr>
          <w:rFonts w:eastAsia="Times New Roman" w:cs="Times New Roman"/>
          <w:b/>
          <w:sz w:val="20"/>
          <w:szCs w:val="20"/>
          <w:highlight w:val="yellow"/>
        </w:rPr>
        <w:t>SMOFlipid</w:t>
      </w:r>
      <w:proofErr w:type="spellEnd"/>
      <w:r>
        <w:rPr>
          <w:rFonts w:eastAsia="Times New Roman" w:cs="Times New Roman"/>
          <w:b/>
          <w:sz w:val="20"/>
          <w:szCs w:val="20"/>
          <w:highlight w:val="yellow"/>
        </w:rPr>
        <w:t xml:space="preserve"> (lipid injectable emulsion), for intravenous use at </w:t>
      </w:r>
      <w:hyperlink r:id="rId5" w:history="1">
        <w:r>
          <w:rPr>
            <w:rStyle w:val="Hyperlink"/>
            <w:b/>
            <w:bCs/>
            <w:sz w:val="20"/>
            <w:szCs w:val="20"/>
            <w:highlight w:val="yellow"/>
          </w:rPr>
          <w:t>www.freseniuskabinutrition.com</w:t>
        </w:r>
      </w:hyperlink>
      <w:r>
        <w:rPr>
          <w:b/>
          <w:bCs/>
          <w:sz w:val="20"/>
          <w:szCs w:val="20"/>
          <w:highlight w:val="yellow"/>
        </w:rPr>
        <w:t>.</w:t>
      </w:r>
    </w:p>
    <w:tbl>
      <w:tblPr>
        <w:tblStyle w:val="TableGrid"/>
        <w:tblpPr w:leftFromText="180" w:rightFromText="180" w:vertAnchor="text" w:horzAnchor="margin" w:tblpX="-60" w:tblpY="34"/>
        <w:tblW w:w="945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9450"/>
      </w:tblGrid>
      <w:tr w:rsidR="009D3680" w:rsidRPr="006C3CD7" w14:paraId="484855DB" w14:textId="77777777" w:rsidTr="003E7765">
        <w:trPr>
          <w:trHeight w:val="2213"/>
        </w:trPr>
        <w:tc>
          <w:tcPr>
            <w:tcW w:w="9450" w:type="dxa"/>
          </w:tcPr>
          <w:p w14:paraId="69F028A1" w14:textId="77777777" w:rsidR="009D3680" w:rsidRPr="006C3CD7" w:rsidRDefault="009D3680" w:rsidP="003E7765">
            <w:pPr>
              <w:rPr>
                <w:rFonts w:asciiTheme="minorHAnsi" w:hAnsiTheme="minorHAnsi"/>
                <w:b/>
              </w:rPr>
            </w:pPr>
          </w:p>
          <w:p w14:paraId="3D53AACA" w14:textId="77777777" w:rsidR="009D3680" w:rsidRPr="006C3CD7" w:rsidRDefault="009D3680" w:rsidP="003E7765">
            <w:pPr>
              <w:jc w:val="center"/>
              <w:rPr>
                <w:rFonts w:asciiTheme="minorHAnsi" w:hAnsiTheme="minorHAnsi"/>
                <w:b/>
              </w:rPr>
            </w:pPr>
            <w:r w:rsidRPr="006C3CD7">
              <w:rPr>
                <w:rFonts w:asciiTheme="minorHAnsi" w:hAnsiTheme="minorHAnsi"/>
                <w:b/>
              </w:rPr>
              <w:t>WARNING: DEATH IN PRETERM INFANTS</w:t>
            </w:r>
          </w:p>
          <w:p w14:paraId="4DCBDC5A" w14:textId="77777777" w:rsidR="009D3680" w:rsidRPr="006C3CD7" w:rsidRDefault="009D3680" w:rsidP="003E7765">
            <w:pPr>
              <w:rPr>
                <w:rFonts w:asciiTheme="minorHAnsi" w:hAnsiTheme="minorHAnsi"/>
                <w:b/>
                <w:i/>
              </w:rPr>
            </w:pPr>
          </w:p>
          <w:p w14:paraId="20D141CA" w14:textId="77777777" w:rsidR="009D3680" w:rsidRPr="006C3CD7" w:rsidRDefault="009D3680" w:rsidP="009D3680">
            <w:pPr>
              <w:numPr>
                <w:ilvl w:val="0"/>
                <w:numId w:val="1"/>
              </w:numPr>
              <w:rPr>
                <w:rFonts w:asciiTheme="minorHAnsi" w:hAnsiTheme="minorHAnsi"/>
                <w:b/>
              </w:rPr>
            </w:pPr>
            <w:r w:rsidRPr="006C3CD7">
              <w:rPr>
                <w:rFonts w:asciiTheme="minorHAnsi" w:hAnsiTheme="minorHAnsi"/>
                <w:b/>
              </w:rPr>
              <w:t>Deaths in preterm infants after infusion of intravenous lipid emulsions have been reported in the medical literature.</w:t>
            </w:r>
          </w:p>
          <w:p w14:paraId="16D594BD" w14:textId="77777777" w:rsidR="009D3680" w:rsidRPr="006C3CD7" w:rsidRDefault="009D3680" w:rsidP="009D3680">
            <w:pPr>
              <w:numPr>
                <w:ilvl w:val="0"/>
                <w:numId w:val="1"/>
              </w:numPr>
              <w:rPr>
                <w:rFonts w:asciiTheme="minorHAnsi" w:hAnsiTheme="minorHAnsi"/>
                <w:b/>
                <w:u w:val="single"/>
              </w:rPr>
            </w:pPr>
            <w:r w:rsidRPr="006C3CD7">
              <w:rPr>
                <w:rFonts w:asciiTheme="minorHAnsi" w:hAnsiTheme="minorHAnsi"/>
                <w:b/>
              </w:rPr>
              <w:t xml:space="preserve">Autopsy findings included intravascular fat accumulation in the lungs. </w:t>
            </w:r>
          </w:p>
          <w:p w14:paraId="1AB7CC89" w14:textId="77777777" w:rsidR="009D3680" w:rsidRPr="00A47352" w:rsidRDefault="009D3680" w:rsidP="009D3680">
            <w:pPr>
              <w:numPr>
                <w:ilvl w:val="0"/>
                <w:numId w:val="1"/>
              </w:numPr>
              <w:rPr>
                <w:rFonts w:asciiTheme="minorHAnsi" w:hAnsiTheme="minorHAnsi"/>
                <w:b/>
              </w:rPr>
            </w:pPr>
            <w:r w:rsidRPr="00A47352">
              <w:rPr>
                <w:rFonts w:asciiTheme="minorHAnsi" w:hAnsiTheme="minorHAnsi"/>
                <w:b/>
              </w:rPr>
              <w:t>Preterm infants and low-birth-weight infants have poor clearance of intravenous lipid emulsion and increased free fatty acid plasma levels following lipid emulsion infusion.</w:t>
            </w:r>
          </w:p>
          <w:p w14:paraId="182E6E40" w14:textId="77777777" w:rsidR="009D3680" w:rsidRPr="006C3CD7" w:rsidRDefault="009D3680" w:rsidP="003E7765">
            <w:pPr>
              <w:jc w:val="center"/>
              <w:rPr>
                <w:rFonts w:asciiTheme="minorHAnsi" w:hAnsiTheme="minorHAnsi"/>
                <w:b/>
                <w:u w:val="single"/>
              </w:rPr>
            </w:pPr>
          </w:p>
        </w:tc>
      </w:tr>
    </w:tbl>
    <w:p w14:paraId="1A128CC6" w14:textId="77777777" w:rsidR="009D3680" w:rsidRDefault="009D3680" w:rsidP="009D3680">
      <w:pPr>
        <w:rPr>
          <w:rFonts w:eastAsia="Times New Roman" w:cs="Times New Roman"/>
          <w:b/>
          <w:sz w:val="20"/>
          <w:szCs w:val="20"/>
        </w:rPr>
      </w:pPr>
    </w:p>
    <w:p w14:paraId="54AF5614" w14:textId="77777777" w:rsidR="009D3680" w:rsidRPr="007E7D4F" w:rsidRDefault="009D3680" w:rsidP="009D3680">
      <w:pPr>
        <w:jc w:val="both"/>
        <w:rPr>
          <w:rFonts w:eastAsia="Times New Roman" w:cs="Times New Roman"/>
          <w:b/>
          <w:bCs/>
          <w:sz w:val="20"/>
          <w:szCs w:val="20"/>
        </w:rPr>
      </w:pPr>
      <w:r w:rsidRPr="007E7D4F">
        <w:rPr>
          <w:rFonts w:eastAsia="Times New Roman" w:cs="Times New Roman"/>
          <w:b/>
          <w:bCs/>
          <w:sz w:val="20"/>
          <w:szCs w:val="20"/>
        </w:rPr>
        <w:t>INDICATIONS AND USAGE</w:t>
      </w:r>
    </w:p>
    <w:p w14:paraId="65862869" w14:textId="77777777" w:rsidR="009D3680" w:rsidRPr="007E7D4F" w:rsidRDefault="009D3680" w:rsidP="009D3680">
      <w:pPr>
        <w:jc w:val="both"/>
        <w:rPr>
          <w:rFonts w:eastAsia="Times New Roman" w:cs="Times New Roman"/>
          <w:sz w:val="20"/>
          <w:szCs w:val="20"/>
        </w:rPr>
      </w:pPr>
      <w:proofErr w:type="spellStart"/>
      <w:r>
        <w:rPr>
          <w:rFonts w:eastAsia="Times New Roman" w:cs="Times New Roman"/>
          <w:sz w:val="20"/>
          <w:szCs w:val="20"/>
        </w:rPr>
        <w:t>SMOF</w:t>
      </w:r>
      <w:r w:rsidRPr="007E7D4F">
        <w:rPr>
          <w:rFonts w:eastAsia="Times New Roman" w:cs="Times New Roman"/>
          <w:sz w:val="20"/>
          <w:szCs w:val="20"/>
        </w:rPr>
        <w:t>lipid</w:t>
      </w:r>
      <w:proofErr w:type="spellEnd"/>
      <w:r w:rsidRPr="007E7D4F">
        <w:rPr>
          <w:rFonts w:eastAsia="Times New Roman" w:cs="Times New Roman"/>
          <w:sz w:val="20"/>
          <w:szCs w:val="20"/>
        </w:rPr>
        <w:t xml:space="preserve"> is indicated in adults as a source of calories and essential fatty acids for parenteral nutrition</w:t>
      </w:r>
      <w:r>
        <w:rPr>
          <w:rFonts w:eastAsia="Times New Roman" w:cs="Times New Roman"/>
          <w:sz w:val="20"/>
          <w:szCs w:val="20"/>
        </w:rPr>
        <w:t xml:space="preserve"> (PN)</w:t>
      </w:r>
      <w:r w:rsidRPr="007E7D4F">
        <w:rPr>
          <w:rFonts w:eastAsia="Times New Roman" w:cs="Times New Roman"/>
          <w:sz w:val="20"/>
          <w:szCs w:val="20"/>
        </w:rPr>
        <w:t xml:space="preserve"> when oral or enteral nutrition is not possible, insufficient, or contraindicated.</w:t>
      </w:r>
    </w:p>
    <w:p w14:paraId="66C93A9B" w14:textId="77777777" w:rsidR="009D3680" w:rsidRDefault="009D3680" w:rsidP="009D3680">
      <w:pPr>
        <w:jc w:val="both"/>
        <w:rPr>
          <w:rFonts w:eastAsia="Times New Roman" w:cs="Times New Roman"/>
          <w:sz w:val="20"/>
          <w:szCs w:val="20"/>
          <w:u w:val="single"/>
        </w:rPr>
      </w:pPr>
    </w:p>
    <w:p w14:paraId="50DA2CD1" w14:textId="77777777" w:rsidR="009D3680" w:rsidRDefault="009D3680" w:rsidP="009D3680">
      <w:pPr>
        <w:jc w:val="both"/>
        <w:rPr>
          <w:rFonts w:eastAsia="Times New Roman" w:cs="Times New Roman"/>
          <w:sz w:val="20"/>
          <w:szCs w:val="20"/>
        </w:rPr>
      </w:pPr>
      <w:r>
        <w:rPr>
          <w:rFonts w:eastAsia="Times New Roman" w:cs="Times New Roman"/>
          <w:sz w:val="20"/>
          <w:szCs w:val="20"/>
          <w:u w:val="single"/>
        </w:rPr>
        <w:t>Limitations of Use</w:t>
      </w:r>
      <w:r w:rsidRPr="007E7D4F">
        <w:rPr>
          <w:rFonts w:eastAsia="Times New Roman" w:cs="Times New Roman"/>
          <w:sz w:val="20"/>
          <w:szCs w:val="20"/>
        </w:rPr>
        <w:t> </w:t>
      </w:r>
    </w:p>
    <w:p w14:paraId="5CF625F7" w14:textId="77777777" w:rsidR="009D3680" w:rsidRDefault="009D3680" w:rsidP="009D3680">
      <w:pPr>
        <w:jc w:val="both"/>
        <w:rPr>
          <w:rFonts w:eastAsia="Times New Roman" w:cs="Times New Roman"/>
          <w:sz w:val="20"/>
          <w:szCs w:val="20"/>
        </w:rPr>
      </w:pPr>
      <w:r w:rsidRPr="007E7D4F">
        <w:rPr>
          <w:rFonts w:eastAsia="Times New Roman" w:cs="Times New Roman"/>
          <w:sz w:val="20"/>
          <w:szCs w:val="20"/>
        </w:rPr>
        <w:t xml:space="preserve">The omega-6: omega-3 fatty acid ratio and Medium Chain Triglycerides in </w:t>
      </w:r>
      <w:proofErr w:type="spellStart"/>
      <w:r>
        <w:rPr>
          <w:rFonts w:eastAsia="Times New Roman" w:cs="Times New Roman"/>
          <w:sz w:val="20"/>
          <w:szCs w:val="20"/>
        </w:rPr>
        <w:t>SMOF</w:t>
      </w:r>
      <w:r w:rsidRPr="007E7D4F">
        <w:rPr>
          <w:rFonts w:eastAsia="Times New Roman" w:cs="Times New Roman"/>
          <w:sz w:val="20"/>
          <w:szCs w:val="20"/>
        </w:rPr>
        <w:t>lipid</w:t>
      </w:r>
      <w:proofErr w:type="spellEnd"/>
      <w:r w:rsidRPr="007E7D4F">
        <w:rPr>
          <w:rFonts w:eastAsia="Times New Roman" w:cs="Times New Roman"/>
          <w:sz w:val="20"/>
          <w:szCs w:val="20"/>
        </w:rPr>
        <w:t xml:space="preserve"> have not been shown to improve clinical outcomes compared to other intravenous lipid emulsions.</w:t>
      </w:r>
    </w:p>
    <w:p w14:paraId="6A1B5EFA" w14:textId="77777777" w:rsidR="009D3680" w:rsidRPr="007E7D4F" w:rsidRDefault="009D3680" w:rsidP="009D3680">
      <w:pPr>
        <w:jc w:val="both"/>
        <w:rPr>
          <w:rFonts w:eastAsia="Times New Roman" w:cs="Times New Roman"/>
          <w:sz w:val="20"/>
          <w:szCs w:val="20"/>
        </w:rPr>
      </w:pPr>
    </w:p>
    <w:p w14:paraId="37178C64" w14:textId="77777777" w:rsidR="009D3680" w:rsidRPr="007B717C" w:rsidRDefault="009D3680" w:rsidP="009D3680">
      <w:pPr>
        <w:jc w:val="both"/>
        <w:rPr>
          <w:rFonts w:eastAsia="Times New Roman" w:cs="Times New Roman"/>
          <w:b/>
          <w:bCs/>
          <w:sz w:val="20"/>
          <w:szCs w:val="20"/>
        </w:rPr>
      </w:pPr>
      <w:r w:rsidRPr="007B717C">
        <w:rPr>
          <w:rFonts w:eastAsia="Times New Roman" w:cs="Times New Roman"/>
          <w:b/>
          <w:bCs/>
          <w:sz w:val="20"/>
          <w:szCs w:val="20"/>
        </w:rPr>
        <w:t xml:space="preserve">DOSAGE AND ADMINISTRATION </w:t>
      </w:r>
    </w:p>
    <w:p w14:paraId="1D719D90" w14:textId="77777777" w:rsidR="009D3680" w:rsidRPr="007E7D4F" w:rsidRDefault="009D3680" w:rsidP="009D3680">
      <w:pPr>
        <w:jc w:val="both"/>
        <w:rPr>
          <w:rFonts w:eastAsia="Times New Roman" w:cs="Times New Roman"/>
          <w:sz w:val="20"/>
          <w:szCs w:val="20"/>
        </w:rPr>
      </w:pPr>
      <w:r w:rsidRPr="007B717C">
        <w:rPr>
          <w:rFonts w:eastAsia="Times New Roman" w:cs="Times New Roman"/>
          <w:sz w:val="20"/>
          <w:szCs w:val="20"/>
        </w:rPr>
        <w:t xml:space="preserve">The recommended daily dosage in adults is 1 to 2 grams/kg per day and should not exceed 2.5 grams/kg per day.  </w:t>
      </w:r>
      <w:proofErr w:type="spellStart"/>
      <w:r>
        <w:rPr>
          <w:rFonts w:eastAsia="Times New Roman" w:cs="Times New Roman"/>
          <w:sz w:val="20"/>
          <w:szCs w:val="20"/>
        </w:rPr>
        <w:t>SMOF</w:t>
      </w:r>
      <w:r w:rsidRPr="007B717C">
        <w:rPr>
          <w:rFonts w:eastAsia="Times New Roman" w:cs="Times New Roman"/>
          <w:sz w:val="20"/>
          <w:szCs w:val="20"/>
        </w:rPr>
        <w:t>lipid</w:t>
      </w:r>
      <w:proofErr w:type="spellEnd"/>
      <w:r w:rsidRPr="007B717C">
        <w:rPr>
          <w:rFonts w:eastAsia="Times New Roman" w:cs="Times New Roman"/>
          <w:sz w:val="20"/>
          <w:szCs w:val="20"/>
        </w:rPr>
        <w:t xml:space="preserve"> 1000 mL is supplied as a Pharmacy Bulk Package for admixing only and is not for direct infusion.  Prior to administration, transfer to a separate PN container.</w:t>
      </w:r>
      <w:r>
        <w:rPr>
          <w:rFonts w:eastAsia="Times New Roman" w:cs="Times New Roman"/>
          <w:sz w:val="20"/>
          <w:szCs w:val="20"/>
        </w:rPr>
        <w:t xml:space="preserve"> </w:t>
      </w:r>
      <w:r>
        <w:rPr>
          <w:rFonts w:cstheme="minorHAnsi"/>
          <w:color w:val="000000"/>
          <w:sz w:val="20"/>
          <w:szCs w:val="20"/>
        </w:rPr>
        <w:t>Protect the admixed PN solution from light.</w:t>
      </w:r>
    </w:p>
    <w:p w14:paraId="2AB670DC" w14:textId="77777777" w:rsidR="009D3680" w:rsidRDefault="009D3680" w:rsidP="009D3680">
      <w:pPr>
        <w:jc w:val="both"/>
        <w:rPr>
          <w:rFonts w:eastAsia="Times New Roman" w:cs="Times New Roman"/>
          <w:b/>
          <w:bCs/>
          <w:sz w:val="20"/>
          <w:szCs w:val="20"/>
        </w:rPr>
      </w:pPr>
    </w:p>
    <w:p w14:paraId="34146FB4" w14:textId="77777777" w:rsidR="009D3680" w:rsidRPr="007E7D4F" w:rsidRDefault="009D3680" w:rsidP="009D3680">
      <w:pPr>
        <w:jc w:val="both"/>
        <w:rPr>
          <w:rFonts w:eastAsia="Times New Roman" w:cs="Times New Roman"/>
          <w:b/>
          <w:bCs/>
          <w:sz w:val="20"/>
          <w:szCs w:val="20"/>
        </w:rPr>
      </w:pPr>
      <w:r w:rsidRPr="007E7D4F">
        <w:rPr>
          <w:rFonts w:eastAsia="Times New Roman" w:cs="Times New Roman"/>
          <w:b/>
          <w:bCs/>
          <w:sz w:val="20"/>
          <w:szCs w:val="20"/>
        </w:rPr>
        <w:t>CONTRAINDICATIONS</w:t>
      </w:r>
    </w:p>
    <w:p w14:paraId="0F0E26AF" w14:textId="77777777" w:rsidR="009D3680" w:rsidRPr="00136575" w:rsidRDefault="009D3680" w:rsidP="009D3680">
      <w:pPr>
        <w:jc w:val="both"/>
        <w:rPr>
          <w:rFonts w:eastAsia="Times New Roman" w:cs="Times New Roman"/>
          <w:sz w:val="20"/>
          <w:szCs w:val="20"/>
        </w:rPr>
      </w:pPr>
      <w:r w:rsidRPr="00136575">
        <w:rPr>
          <w:rFonts w:eastAsia="Times New Roman" w:cs="Times New Roman"/>
          <w:sz w:val="20"/>
          <w:szCs w:val="20"/>
        </w:rPr>
        <w:t>Known hypersensitivity to fish, egg, soybean, or peanut protein, or to any of the active ingredients or excipients.</w:t>
      </w:r>
    </w:p>
    <w:p w14:paraId="2CEEB655" w14:textId="77777777" w:rsidR="009D3680" w:rsidRPr="00136575" w:rsidRDefault="009D3680" w:rsidP="009D3680">
      <w:pPr>
        <w:jc w:val="both"/>
        <w:rPr>
          <w:rFonts w:eastAsia="Times New Roman" w:cs="Times New Roman"/>
          <w:sz w:val="20"/>
          <w:szCs w:val="20"/>
        </w:rPr>
      </w:pPr>
      <w:r w:rsidRPr="00136575">
        <w:rPr>
          <w:rFonts w:eastAsia="Times New Roman" w:cs="Times New Roman"/>
          <w:sz w:val="20"/>
          <w:szCs w:val="20"/>
        </w:rPr>
        <w:t>Severe hyperlipidemia or severe disorders of lipid metabolism with serum triglycerides &gt; 1,000 mg/dL.</w:t>
      </w:r>
    </w:p>
    <w:p w14:paraId="5CD59B8A" w14:textId="77777777" w:rsidR="009D3680" w:rsidRPr="007E7D4F" w:rsidRDefault="009D3680" w:rsidP="009D3680">
      <w:pPr>
        <w:jc w:val="both"/>
        <w:rPr>
          <w:rFonts w:eastAsia="Times New Roman" w:cs="Times New Roman"/>
          <w:sz w:val="20"/>
          <w:szCs w:val="20"/>
        </w:rPr>
      </w:pPr>
    </w:p>
    <w:p w14:paraId="09BCF3F9" w14:textId="77777777" w:rsidR="009D3680" w:rsidRPr="007B717C" w:rsidRDefault="009D3680" w:rsidP="009D3680">
      <w:pPr>
        <w:jc w:val="both"/>
        <w:rPr>
          <w:rFonts w:eastAsia="Times New Roman" w:cs="Times New Roman"/>
          <w:b/>
          <w:bCs/>
          <w:sz w:val="20"/>
          <w:szCs w:val="20"/>
        </w:rPr>
      </w:pPr>
      <w:r w:rsidRPr="007B717C">
        <w:rPr>
          <w:rFonts w:eastAsia="Times New Roman" w:cs="Times New Roman"/>
          <w:b/>
          <w:bCs/>
          <w:sz w:val="20"/>
          <w:szCs w:val="20"/>
        </w:rPr>
        <w:t xml:space="preserve">WARNINGS AND PRECAUTIONS </w:t>
      </w:r>
    </w:p>
    <w:p w14:paraId="30E84E15" w14:textId="77777777" w:rsidR="009D3680" w:rsidRDefault="009D3680" w:rsidP="009D3680">
      <w:pPr>
        <w:pStyle w:val="ListParagraph"/>
        <w:numPr>
          <w:ilvl w:val="0"/>
          <w:numId w:val="2"/>
        </w:numPr>
        <w:autoSpaceDE w:val="0"/>
        <w:autoSpaceDN w:val="0"/>
        <w:adjustRightInd w:val="0"/>
        <w:spacing w:after="0" w:line="240" w:lineRule="auto"/>
        <w:jc w:val="both"/>
        <w:rPr>
          <w:rFonts w:eastAsia="Times New Roman" w:cs="Times New Roman"/>
          <w:b/>
          <w:bCs/>
          <w:sz w:val="20"/>
          <w:szCs w:val="20"/>
        </w:rPr>
      </w:pPr>
      <w:r w:rsidRPr="007B717C">
        <w:rPr>
          <w:rFonts w:cs="Times New Roman"/>
          <w:sz w:val="20"/>
          <w:szCs w:val="20"/>
        </w:rPr>
        <w:t xml:space="preserve">Death in Preterm Infants: </w:t>
      </w:r>
      <w:r w:rsidRPr="007B717C">
        <w:rPr>
          <w:rFonts w:eastAsia="Times New Roman" w:cs="Times New Roman"/>
          <w:bCs/>
          <w:sz w:val="20"/>
          <w:szCs w:val="20"/>
        </w:rPr>
        <w:t xml:space="preserve">(see </w:t>
      </w:r>
      <w:r>
        <w:rPr>
          <w:rFonts w:eastAsia="Times New Roman" w:cs="Times New Roman"/>
          <w:bCs/>
          <w:sz w:val="20"/>
          <w:szCs w:val="20"/>
        </w:rPr>
        <w:t xml:space="preserve">BLACK </w:t>
      </w:r>
      <w:r w:rsidRPr="007B717C">
        <w:rPr>
          <w:rFonts w:eastAsia="Times New Roman" w:cs="Times New Roman"/>
          <w:bCs/>
          <w:sz w:val="20"/>
          <w:szCs w:val="20"/>
        </w:rPr>
        <w:t>BOX WARNING)</w:t>
      </w:r>
      <w:r>
        <w:rPr>
          <w:rFonts w:eastAsia="Times New Roman" w:cs="Times New Roman"/>
          <w:b/>
          <w:bCs/>
          <w:sz w:val="20"/>
          <w:szCs w:val="20"/>
        </w:rPr>
        <w:t xml:space="preserve"> </w:t>
      </w:r>
    </w:p>
    <w:p w14:paraId="5B083F10" w14:textId="77777777" w:rsidR="009D3680" w:rsidRPr="007B717C" w:rsidRDefault="009D3680" w:rsidP="009D3680">
      <w:pPr>
        <w:pStyle w:val="ListParagraph"/>
        <w:autoSpaceDE w:val="0"/>
        <w:autoSpaceDN w:val="0"/>
        <w:adjustRightInd w:val="0"/>
        <w:spacing w:after="0" w:line="240" w:lineRule="auto"/>
        <w:ind w:left="432"/>
        <w:jc w:val="both"/>
        <w:rPr>
          <w:rFonts w:eastAsia="Times New Roman" w:cs="Times New Roman"/>
          <w:b/>
          <w:bCs/>
          <w:sz w:val="20"/>
          <w:szCs w:val="20"/>
        </w:rPr>
      </w:pPr>
    </w:p>
    <w:p w14:paraId="666834EF" w14:textId="77777777" w:rsidR="009D3680" w:rsidRPr="007B717C" w:rsidRDefault="009D3680" w:rsidP="009D3680">
      <w:pPr>
        <w:pStyle w:val="ListParagraph"/>
        <w:numPr>
          <w:ilvl w:val="0"/>
          <w:numId w:val="2"/>
        </w:numPr>
        <w:spacing w:after="0" w:line="240" w:lineRule="auto"/>
        <w:jc w:val="both"/>
        <w:rPr>
          <w:rFonts w:eastAsia="Times New Roman" w:cs="Times New Roman"/>
          <w:bCs/>
          <w:sz w:val="20"/>
          <w:szCs w:val="20"/>
        </w:rPr>
      </w:pPr>
      <w:r w:rsidRPr="007B717C">
        <w:rPr>
          <w:rFonts w:eastAsia="Times New Roman" w:cs="Times New Roman"/>
          <w:bCs/>
          <w:sz w:val="20"/>
          <w:szCs w:val="20"/>
        </w:rPr>
        <w:t xml:space="preserve">Hypersensitivity Reactions:  </w:t>
      </w:r>
      <w:proofErr w:type="spellStart"/>
      <w:r>
        <w:rPr>
          <w:rFonts w:eastAsia="Times New Roman" w:cs="Times New Roman"/>
          <w:bCs/>
          <w:sz w:val="20"/>
          <w:szCs w:val="20"/>
        </w:rPr>
        <w:t>SMOF</w:t>
      </w:r>
      <w:r w:rsidRPr="007B717C">
        <w:rPr>
          <w:rFonts w:eastAsia="Times New Roman" w:cs="Times New Roman"/>
          <w:bCs/>
          <w:sz w:val="20"/>
          <w:szCs w:val="20"/>
        </w:rPr>
        <w:t>lipid</w:t>
      </w:r>
      <w:proofErr w:type="spellEnd"/>
      <w:r w:rsidRPr="007B717C">
        <w:rPr>
          <w:rFonts w:eastAsia="Times New Roman" w:cs="Times New Roman"/>
          <w:bCs/>
          <w:sz w:val="20"/>
          <w:szCs w:val="20"/>
        </w:rPr>
        <w:t xml:space="preserve"> contains soybean oil, fish oil, and egg phospholipids, which may cause hypersensitivity reactions. Cross reactions have been observed between soybean and peanut oil. Signs or symptoms of a hypersensitivity reaction may </w:t>
      </w:r>
      <w:proofErr w:type="gramStart"/>
      <w:r w:rsidRPr="007B717C">
        <w:rPr>
          <w:rFonts w:eastAsia="Times New Roman" w:cs="Times New Roman"/>
          <w:bCs/>
          <w:sz w:val="20"/>
          <w:szCs w:val="20"/>
        </w:rPr>
        <w:t>include:</w:t>
      </w:r>
      <w:proofErr w:type="gramEnd"/>
      <w:r w:rsidRPr="007B717C">
        <w:rPr>
          <w:rFonts w:eastAsia="Times New Roman" w:cs="Times New Roman"/>
          <w:bCs/>
          <w:sz w:val="20"/>
          <w:szCs w:val="20"/>
        </w:rPr>
        <w:t xml:space="preserve"> tachypnea, dyspnea, hypoxia, bronchospasm, tachycardia, hypotension, cyanosis, vomiting, nausea, headache, sweating, dizziness, altered mentation,</w:t>
      </w:r>
      <w:r w:rsidRPr="00F00649">
        <w:rPr>
          <w:rFonts w:eastAsia="Times New Roman" w:cs="Times New Roman"/>
          <w:bCs/>
          <w:sz w:val="20"/>
          <w:szCs w:val="20"/>
        </w:rPr>
        <w:t xml:space="preserve"> </w:t>
      </w:r>
      <w:r w:rsidRPr="007B717C">
        <w:rPr>
          <w:rFonts w:eastAsia="Times New Roman" w:cs="Times New Roman"/>
          <w:bCs/>
          <w:sz w:val="20"/>
          <w:szCs w:val="20"/>
        </w:rPr>
        <w:t xml:space="preserve">flushing, rash, urticaria, erythema, pyrexia, or chills. If a hypersensitivity reaction occurs, stop infusion of </w:t>
      </w:r>
      <w:proofErr w:type="spellStart"/>
      <w:r>
        <w:rPr>
          <w:rFonts w:eastAsia="Times New Roman" w:cs="Times New Roman"/>
          <w:bCs/>
          <w:sz w:val="20"/>
          <w:szCs w:val="20"/>
        </w:rPr>
        <w:t>SMOF</w:t>
      </w:r>
      <w:r w:rsidRPr="007B717C">
        <w:rPr>
          <w:rFonts w:eastAsia="Times New Roman" w:cs="Times New Roman"/>
          <w:bCs/>
          <w:sz w:val="20"/>
          <w:szCs w:val="20"/>
        </w:rPr>
        <w:t>lipid</w:t>
      </w:r>
      <w:proofErr w:type="spellEnd"/>
      <w:r w:rsidRPr="007B717C">
        <w:rPr>
          <w:rFonts w:eastAsia="Times New Roman" w:cs="Times New Roman"/>
          <w:bCs/>
          <w:sz w:val="20"/>
          <w:szCs w:val="20"/>
        </w:rPr>
        <w:t xml:space="preserve"> immediately and undertake appropriate treatment and supportive measures.</w:t>
      </w:r>
    </w:p>
    <w:p w14:paraId="46C392C9" w14:textId="77777777" w:rsidR="009D3680" w:rsidRDefault="009D3680" w:rsidP="009D3680">
      <w:pPr>
        <w:jc w:val="both"/>
        <w:rPr>
          <w:rFonts w:eastAsia="Times New Roman" w:cs="Times New Roman"/>
          <w:bCs/>
          <w:sz w:val="20"/>
          <w:szCs w:val="20"/>
        </w:rPr>
      </w:pPr>
    </w:p>
    <w:p w14:paraId="57E2FA51" w14:textId="77777777" w:rsidR="009D3680" w:rsidRPr="007B717C" w:rsidRDefault="009D3680" w:rsidP="009D3680">
      <w:pPr>
        <w:pStyle w:val="ListParagraph"/>
        <w:numPr>
          <w:ilvl w:val="0"/>
          <w:numId w:val="2"/>
        </w:numPr>
        <w:spacing w:after="0" w:line="240" w:lineRule="auto"/>
        <w:jc w:val="both"/>
        <w:rPr>
          <w:rFonts w:eastAsia="Times New Roman" w:cs="Times New Roman"/>
          <w:bCs/>
          <w:sz w:val="20"/>
          <w:szCs w:val="20"/>
        </w:rPr>
      </w:pPr>
      <w:r w:rsidRPr="007B717C">
        <w:rPr>
          <w:rFonts w:eastAsia="Times New Roman" w:cs="Times New Roman"/>
          <w:bCs/>
          <w:sz w:val="20"/>
          <w:szCs w:val="20"/>
        </w:rPr>
        <w:t xml:space="preserve">Risk of Catheter-Related Infections:  Lipid emulsions, such as </w:t>
      </w:r>
      <w:proofErr w:type="spellStart"/>
      <w:r>
        <w:rPr>
          <w:rFonts w:eastAsia="Times New Roman" w:cs="Times New Roman"/>
          <w:bCs/>
          <w:sz w:val="20"/>
          <w:szCs w:val="20"/>
        </w:rPr>
        <w:t>SMOF</w:t>
      </w:r>
      <w:r w:rsidRPr="007B717C">
        <w:rPr>
          <w:rFonts w:eastAsia="Times New Roman" w:cs="Times New Roman"/>
          <w:bCs/>
          <w:sz w:val="20"/>
          <w:szCs w:val="20"/>
        </w:rPr>
        <w:t>lipid</w:t>
      </w:r>
      <w:proofErr w:type="spellEnd"/>
      <w:r w:rsidRPr="007B717C">
        <w:rPr>
          <w:rFonts w:eastAsia="Times New Roman" w:cs="Times New Roman"/>
          <w:bCs/>
          <w:sz w:val="20"/>
          <w:szCs w:val="20"/>
        </w:rPr>
        <w:t>, can support microbial growth and is an independent risk factor for the development of catheter-related bloodstream infections. The risk of infection is increased in patients with malnutrition-associated immunosuppression, long-term use and poor maintenance of intravenous catheters, or immunosuppressive effects of other concomitant conditions or drugs.</w:t>
      </w:r>
    </w:p>
    <w:p w14:paraId="39A9D256" w14:textId="77777777" w:rsidR="009D3680" w:rsidRPr="007B717C" w:rsidRDefault="009D3680" w:rsidP="009D3680">
      <w:pPr>
        <w:jc w:val="both"/>
        <w:rPr>
          <w:rFonts w:eastAsia="Times New Roman" w:cs="Times New Roman"/>
          <w:bCs/>
          <w:sz w:val="20"/>
          <w:szCs w:val="20"/>
        </w:rPr>
      </w:pPr>
    </w:p>
    <w:p w14:paraId="42F71013" w14:textId="77777777" w:rsidR="009D3680" w:rsidRPr="007B717C" w:rsidRDefault="009D3680" w:rsidP="009D3680">
      <w:pPr>
        <w:pStyle w:val="ListParagraph"/>
        <w:numPr>
          <w:ilvl w:val="0"/>
          <w:numId w:val="2"/>
        </w:numPr>
        <w:spacing w:after="0" w:line="240" w:lineRule="auto"/>
        <w:jc w:val="both"/>
        <w:rPr>
          <w:rFonts w:eastAsia="Times New Roman" w:cs="Times New Roman"/>
          <w:bCs/>
          <w:sz w:val="20"/>
          <w:szCs w:val="20"/>
        </w:rPr>
      </w:pPr>
      <w:r w:rsidRPr="007B717C">
        <w:rPr>
          <w:rFonts w:eastAsia="Times New Roman" w:cs="Times New Roman"/>
          <w:bCs/>
          <w:sz w:val="20"/>
          <w:szCs w:val="20"/>
        </w:rPr>
        <w:t xml:space="preserve">Fat Overload Syndrome:  </w:t>
      </w:r>
      <w:r>
        <w:rPr>
          <w:rFonts w:eastAsia="Times New Roman" w:cs="Times New Roman"/>
          <w:bCs/>
          <w:sz w:val="20"/>
          <w:szCs w:val="20"/>
        </w:rPr>
        <w:t>This</w:t>
      </w:r>
      <w:r w:rsidRPr="007B717C">
        <w:rPr>
          <w:rFonts w:eastAsia="Times New Roman" w:cs="Times New Roman"/>
          <w:bCs/>
          <w:sz w:val="20"/>
          <w:szCs w:val="20"/>
        </w:rPr>
        <w:t xml:space="preserve"> is a rare condition that has been reported with intravenous lipid emulsions. A reduced or limited ability to metabolize lipids accompanied by prolonged plasma clearance may result in a syndrome characterized by a sudden deterioration in the patient's condition including fever, anemia, leukopenia, </w:t>
      </w:r>
      <w:r w:rsidRPr="007B717C">
        <w:rPr>
          <w:rFonts w:eastAsia="Times New Roman" w:cs="Times New Roman"/>
          <w:bCs/>
          <w:sz w:val="20"/>
          <w:szCs w:val="20"/>
        </w:rPr>
        <w:lastRenderedPageBreak/>
        <w:t xml:space="preserve">thrombocytopenia, coagulation disorders, hyperlipidemia, </w:t>
      </w:r>
      <w:r>
        <w:rPr>
          <w:rFonts w:eastAsia="Times New Roman" w:cs="Times New Roman"/>
          <w:bCs/>
          <w:sz w:val="20"/>
          <w:szCs w:val="20"/>
        </w:rPr>
        <w:t xml:space="preserve">fatty </w:t>
      </w:r>
      <w:r w:rsidRPr="007B717C">
        <w:rPr>
          <w:rFonts w:eastAsia="Times New Roman" w:cs="Times New Roman"/>
          <w:bCs/>
          <w:sz w:val="20"/>
          <w:szCs w:val="20"/>
        </w:rPr>
        <w:t>liver infiltration (hepatomegaly), deteriorating liver function, and central nervous system manifestations (e.g., coma).</w:t>
      </w:r>
    </w:p>
    <w:p w14:paraId="1B3072C9" w14:textId="77777777" w:rsidR="009D3680" w:rsidRPr="007B717C" w:rsidRDefault="009D3680" w:rsidP="009D3680">
      <w:pPr>
        <w:jc w:val="both"/>
        <w:rPr>
          <w:rFonts w:eastAsia="Times New Roman" w:cs="Times New Roman"/>
          <w:bCs/>
          <w:sz w:val="20"/>
          <w:szCs w:val="20"/>
        </w:rPr>
      </w:pPr>
    </w:p>
    <w:p w14:paraId="2CB0403E" w14:textId="77777777" w:rsidR="009D3680" w:rsidRPr="007B717C" w:rsidRDefault="009D3680" w:rsidP="009D3680">
      <w:pPr>
        <w:pStyle w:val="ListParagraph"/>
        <w:numPr>
          <w:ilvl w:val="0"/>
          <w:numId w:val="2"/>
        </w:numPr>
        <w:spacing w:after="0" w:line="240" w:lineRule="auto"/>
        <w:jc w:val="both"/>
        <w:rPr>
          <w:rFonts w:eastAsia="Times New Roman" w:cs="Times New Roman"/>
          <w:bCs/>
          <w:sz w:val="20"/>
          <w:szCs w:val="20"/>
        </w:rPr>
      </w:pPr>
      <w:r w:rsidRPr="007B717C">
        <w:rPr>
          <w:rFonts w:eastAsia="Times New Roman" w:cs="Times New Roman"/>
          <w:bCs/>
          <w:sz w:val="20"/>
          <w:szCs w:val="20"/>
        </w:rPr>
        <w:t xml:space="preserve">Refeeding Syndrome: </w:t>
      </w:r>
      <w:r>
        <w:rPr>
          <w:rFonts w:eastAsia="Times New Roman" w:cs="Times New Roman"/>
          <w:bCs/>
          <w:sz w:val="20"/>
          <w:szCs w:val="20"/>
        </w:rPr>
        <w:t xml:space="preserve">Reintroducing calories and protein to </w:t>
      </w:r>
      <w:r w:rsidRPr="007B717C">
        <w:rPr>
          <w:rFonts w:eastAsia="Times New Roman" w:cs="Times New Roman"/>
          <w:bCs/>
          <w:sz w:val="20"/>
          <w:szCs w:val="20"/>
        </w:rPr>
        <w:t>severely undernourished patients with PN may result in the refeeding syndrome, characterized by the intracellular shift of potassium, phosphorus, and magnesium as the patient becomes anabolic. Thiamine deficiency and fluid retention may also develop.</w:t>
      </w:r>
    </w:p>
    <w:p w14:paraId="009D5F59" w14:textId="77777777" w:rsidR="009D3680" w:rsidRPr="007B717C" w:rsidRDefault="009D3680" w:rsidP="009D3680">
      <w:pPr>
        <w:jc w:val="both"/>
        <w:rPr>
          <w:rFonts w:eastAsia="Times New Roman" w:cs="Times New Roman"/>
          <w:bCs/>
          <w:sz w:val="20"/>
          <w:szCs w:val="20"/>
        </w:rPr>
      </w:pPr>
    </w:p>
    <w:p w14:paraId="305F7E20" w14:textId="77777777" w:rsidR="009D3680" w:rsidRPr="00205462" w:rsidRDefault="009D3680" w:rsidP="009D3680">
      <w:pPr>
        <w:pStyle w:val="ListParagraph"/>
        <w:numPr>
          <w:ilvl w:val="0"/>
          <w:numId w:val="4"/>
        </w:numPr>
        <w:spacing w:after="0" w:line="240" w:lineRule="auto"/>
        <w:jc w:val="both"/>
        <w:rPr>
          <w:rFonts w:eastAsia="Times New Roman" w:cs="Times New Roman"/>
          <w:bCs/>
          <w:sz w:val="20"/>
          <w:szCs w:val="20"/>
        </w:rPr>
      </w:pPr>
      <w:r w:rsidRPr="00205462">
        <w:rPr>
          <w:rFonts w:eastAsia="Times New Roman" w:cs="Times New Roman"/>
          <w:bCs/>
          <w:sz w:val="20"/>
          <w:szCs w:val="20"/>
        </w:rPr>
        <w:t xml:space="preserve">Aluminum Toxicity: </w:t>
      </w:r>
      <w:proofErr w:type="spellStart"/>
      <w:r w:rsidRPr="00205462">
        <w:rPr>
          <w:rFonts w:eastAsia="Times New Roman" w:cs="Times New Roman"/>
          <w:bCs/>
          <w:sz w:val="20"/>
          <w:szCs w:val="20"/>
        </w:rPr>
        <w:t>SMOFlipid</w:t>
      </w:r>
      <w:proofErr w:type="spellEnd"/>
      <w:r w:rsidRPr="00205462">
        <w:rPr>
          <w:rFonts w:eastAsia="Times New Roman" w:cs="Times New Roman"/>
          <w:bCs/>
          <w:sz w:val="20"/>
          <w:szCs w:val="20"/>
        </w:rPr>
        <w:t xml:space="preserve"> contains no</w:t>
      </w:r>
      <w:r>
        <w:rPr>
          <w:rFonts w:eastAsia="Times New Roman" w:cs="Times New Roman"/>
          <w:bCs/>
          <w:sz w:val="20"/>
          <w:szCs w:val="20"/>
        </w:rPr>
        <w:t xml:space="preserve"> </w:t>
      </w:r>
      <w:r w:rsidRPr="00205462">
        <w:rPr>
          <w:rFonts w:eastAsia="Times New Roman" w:cs="Times New Roman"/>
          <w:bCs/>
          <w:sz w:val="20"/>
          <w:szCs w:val="20"/>
        </w:rPr>
        <w:t>more than 25 mcg/L of aluminum.</w:t>
      </w:r>
      <w:r>
        <w:rPr>
          <w:rFonts w:eastAsia="Times New Roman" w:cs="Times New Roman"/>
          <w:bCs/>
          <w:sz w:val="20"/>
          <w:szCs w:val="20"/>
        </w:rPr>
        <w:t xml:space="preserve"> </w:t>
      </w:r>
      <w:r w:rsidRPr="00205462">
        <w:rPr>
          <w:rFonts w:eastAsia="Times New Roman" w:cs="Times New Roman"/>
          <w:bCs/>
          <w:sz w:val="20"/>
          <w:szCs w:val="20"/>
        </w:rPr>
        <w:t>During prolonged PN administration in patients with renal impairment, the aluminum levels in the patient may reach toxic levels. Preterm infants are at greater risk because their kidneys are immature, and they require large amounts of calcium and phosphate solutions, which contain aluminum.  Patients with renal impairment, including preterm infants, who receive parenteral intakes of aluminum at greater than 4 to 5 mcg/kg/day can accumulate aluminum to levels associated with central nervous system and bone toxicity. Tissue loading may occur at even lower rates of administration of PN products.</w:t>
      </w:r>
    </w:p>
    <w:p w14:paraId="5A764C38" w14:textId="77777777" w:rsidR="009D3680" w:rsidRPr="007B717C" w:rsidRDefault="009D3680" w:rsidP="009D3680">
      <w:pPr>
        <w:jc w:val="both"/>
        <w:rPr>
          <w:rFonts w:eastAsia="Times New Roman" w:cs="Times New Roman"/>
          <w:bCs/>
          <w:sz w:val="20"/>
          <w:szCs w:val="20"/>
        </w:rPr>
      </w:pPr>
    </w:p>
    <w:p w14:paraId="0756E756" w14:textId="77777777" w:rsidR="009D3680" w:rsidRPr="00205462" w:rsidRDefault="009D3680" w:rsidP="009D3680">
      <w:pPr>
        <w:pStyle w:val="ListParagraph"/>
        <w:numPr>
          <w:ilvl w:val="0"/>
          <w:numId w:val="4"/>
        </w:numPr>
        <w:autoSpaceDE w:val="0"/>
        <w:autoSpaceDN w:val="0"/>
        <w:adjustRightInd w:val="0"/>
        <w:spacing w:after="0" w:line="240" w:lineRule="auto"/>
        <w:jc w:val="both"/>
        <w:rPr>
          <w:rFonts w:cs="Times New Roman"/>
          <w:sz w:val="20"/>
          <w:szCs w:val="20"/>
        </w:rPr>
      </w:pPr>
      <w:r w:rsidRPr="00205462">
        <w:rPr>
          <w:rFonts w:cs="Times New Roman"/>
          <w:sz w:val="20"/>
          <w:szCs w:val="20"/>
        </w:rPr>
        <w:t xml:space="preserve">Risk of Parenteral Nutrition-Associated Liver Disease (PNALD):  PNALD has been reported in patients who receive PN for extended periods of time, especially preterm infants, and can present as cholestasis or steatohepatitis. The exact etiology is unknown and is likely multifactorial. Intravenously administered phytosterols (plant sterols) contained in plant-derived lipid formulations have been associated with development of PNALD, although a causal relationship has not been established.  If </w:t>
      </w:r>
      <w:proofErr w:type="spellStart"/>
      <w:r w:rsidRPr="00205462">
        <w:rPr>
          <w:rFonts w:cs="Times New Roman"/>
          <w:sz w:val="20"/>
          <w:szCs w:val="20"/>
        </w:rPr>
        <w:t>SMOFlipid</w:t>
      </w:r>
      <w:proofErr w:type="spellEnd"/>
      <w:r w:rsidRPr="00205462">
        <w:rPr>
          <w:rFonts w:cs="Times New Roman"/>
          <w:sz w:val="20"/>
          <w:szCs w:val="20"/>
        </w:rPr>
        <w:t>-treated patients develop liver test abnormalities, consider discontinuation or dose reduction.</w:t>
      </w:r>
    </w:p>
    <w:p w14:paraId="2BF58817" w14:textId="77777777" w:rsidR="009D3680" w:rsidRPr="00E814A6" w:rsidRDefault="009D3680" w:rsidP="009D3680">
      <w:pPr>
        <w:jc w:val="both"/>
        <w:rPr>
          <w:rFonts w:cs="Times New Roman"/>
          <w:sz w:val="20"/>
          <w:szCs w:val="20"/>
        </w:rPr>
      </w:pPr>
    </w:p>
    <w:p w14:paraId="05729687" w14:textId="77777777" w:rsidR="009D3680" w:rsidRPr="00205462" w:rsidRDefault="009D3680" w:rsidP="009D3680">
      <w:pPr>
        <w:pStyle w:val="ListParagraph"/>
        <w:numPr>
          <w:ilvl w:val="0"/>
          <w:numId w:val="4"/>
        </w:numPr>
        <w:spacing w:after="0" w:line="240" w:lineRule="auto"/>
        <w:jc w:val="both"/>
        <w:rPr>
          <w:rFonts w:eastAsia="Times New Roman" w:cs="Times New Roman"/>
          <w:bCs/>
          <w:sz w:val="20"/>
          <w:szCs w:val="20"/>
        </w:rPr>
      </w:pPr>
      <w:r w:rsidRPr="00205462">
        <w:rPr>
          <w:rFonts w:eastAsia="Times New Roman" w:cs="Times New Roman"/>
          <w:bCs/>
          <w:sz w:val="20"/>
          <w:szCs w:val="20"/>
        </w:rPr>
        <w:t>Hypertriglyceridemia:  Impaired lipid metabolism with hypertriglyceridemia may occur in conditions such as inherited lipid disorders, obesity, diabetes mellitus, and metabolic syndrome.</w:t>
      </w:r>
    </w:p>
    <w:p w14:paraId="1805670D" w14:textId="77777777" w:rsidR="009D3680" w:rsidRPr="00E814A6" w:rsidRDefault="009D3680" w:rsidP="009D3680">
      <w:pPr>
        <w:jc w:val="both"/>
        <w:rPr>
          <w:rFonts w:eastAsia="Times New Roman" w:cs="Times New Roman"/>
          <w:bCs/>
          <w:sz w:val="20"/>
          <w:szCs w:val="20"/>
        </w:rPr>
      </w:pPr>
    </w:p>
    <w:p w14:paraId="224F256E" w14:textId="77777777" w:rsidR="009D3680" w:rsidRPr="00205462" w:rsidRDefault="009D3680" w:rsidP="009D3680">
      <w:pPr>
        <w:pStyle w:val="ListParagraph"/>
        <w:numPr>
          <w:ilvl w:val="0"/>
          <w:numId w:val="4"/>
        </w:numPr>
        <w:spacing w:after="0" w:line="240" w:lineRule="auto"/>
        <w:jc w:val="both"/>
        <w:rPr>
          <w:rFonts w:eastAsia="Times New Roman" w:cs="Times New Roman"/>
          <w:sz w:val="20"/>
          <w:szCs w:val="20"/>
        </w:rPr>
      </w:pPr>
      <w:r w:rsidRPr="00205462">
        <w:rPr>
          <w:rFonts w:eastAsia="Times New Roman" w:cs="Times New Roman"/>
          <w:sz w:val="20"/>
          <w:szCs w:val="20"/>
        </w:rPr>
        <w:t xml:space="preserve">Monitoring/Laboratory Tests: Routinely monitor serum triglycerides, fluid and electrolyte status, blood glucose, liver and kidney function, blood count including platelets, and coagulation parameters throughout treatment. Monitoring patients for signs and symptoms of essential fatty acid deficiency (EFAD) is recommended.  </w:t>
      </w:r>
    </w:p>
    <w:p w14:paraId="515BC048" w14:textId="77777777" w:rsidR="009D3680" w:rsidRPr="00E814A6" w:rsidRDefault="009D3680" w:rsidP="009D3680">
      <w:pPr>
        <w:pStyle w:val="ListParagraph"/>
        <w:spacing w:after="0" w:line="240" w:lineRule="auto"/>
        <w:ind w:left="432"/>
        <w:jc w:val="both"/>
        <w:rPr>
          <w:rFonts w:eastAsia="Times New Roman" w:cs="Times New Roman"/>
          <w:sz w:val="20"/>
          <w:szCs w:val="20"/>
        </w:rPr>
      </w:pPr>
    </w:p>
    <w:p w14:paraId="47EC6365" w14:textId="77777777" w:rsidR="009D3680" w:rsidRPr="00205462" w:rsidRDefault="009D3680" w:rsidP="009D3680">
      <w:pPr>
        <w:pStyle w:val="ListParagraph"/>
        <w:numPr>
          <w:ilvl w:val="0"/>
          <w:numId w:val="4"/>
        </w:numPr>
        <w:spacing w:after="0" w:line="240" w:lineRule="auto"/>
        <w:jc w:val="both"/>
        <w:rPr>
          <w:rFonts w:eastAsia="Times New Roman" w:cs="Times New Roman"/>
          <w:sz w:val="20"/>
          <w:szCs w:val="20"/>
        </w:rPr>
      </w:pPr>
      <w:r w:rsidRPr="00205462">
        <w:rPr>
          <w:rFonts w:eastAsia="Times New Roman" w:cs="Times New Roman"/>
          <w:sz w:val="20"/>
          <w:szCs w:val="20"/>
        </w:rPr>
        <w:t>Interference with Laboratory Tests:  Content of vitamin K may counteract anticoagulant activity.  The lipids contained in this emulsion may interfere with some laboratory blood tests (e.g., hemoglobin, lactate dehydrogenase [LDH], bilirubin, and oxygen saturation) if blood is sampled before lipids have cleared from the bloodstream.</w:t>
      </w:r>
    </w:p>
    <w:p w14:paraId="52AE0058" w14:textId="77777777" w:rsidR="009D3680" w:rsidRPr="00115BCB" w:rsidRDefault="009D3680" w:rsidP="009D3680">
      <w:pPr>
        <w:jc w:val="both"/>
        <w:rPr>
          <w:rFonts w:eastAsia="Times New Roman" w:cs="Times New Roman"/>
          <w:bCs/>
          <w:sz w:val="20"/>
          <w:szCs w:val="20"/>
        </w:rPr>
      </w:pPr>
    </w:p>
    <w:p w14:paraId="785003F6" w14:textId="77777777" w:rsidR="009D3680" w:rsidRDefault="009D3680" w:rsidP="009D3680">
      <w:pPr>
        <w:jc w:val="both"/>
        <w:rPr>
          <w:rFonts w:eastAsia="Times New Roman" w:cs="Times New Roman"/>
          <w:b/>
          <w:bCs/>
          <w:sz w:val="20"/>
          <w:szCs w:val="20"/>
        </w:rPr>
      </w:pPr>
    </w:p>
    <w:p w14:paraId="30B4E5F6" w14:textId="77777777" w:rsidR="009D3680" w:rsidRDefault="009D3680" w:rsidP="009D3680">
      <w:pPr>
        <w:jc w:val="both"/>
        <w:rPr>
          <w:rFonts w:eastAsia="Times New Roman" w:cs="Times New Roman"/>
          <w:b/>
          <w:bCs/>
          <w:sz w:val="20"/>
          <w:szCs w:val="20"/>
        </w:rPr>
      </w:pPr>
    </w:p>
    <w:p w14:paraId="26E6CFEE" w14:textId="77777777" w:rsidR="009D3680" w:rsidRDefault="009D3680" w:rsidP="009D3680">
      <w:pPr>
        <w:jc w:val="both"/>
        <w:rPr>
          <w:rFonts w:eastAsia="Times New Roman" w:cs="Times New Roman"/>
          <w:b/>
          <w:bCs/>
          <w:sz w:val="20"/>
          <w:szCs w:val="20"/>
        </w:rPr>
      </w:pPr>
    </w:p>
    <w:p w14:paraId="7FC3B4D3" w14:textId="77777777" w:rsidR="009D3680" w:rsidRDefault="009D3680" w:rsidP="009D3680">
      <w:pPr>
        <w:jc w:val="both"/>
        <w:rPr>
          <w:rFonts w:eastAsia="Times New Roman" w:cs="Times New Roman"/>
          <w:b/>
          <w:bCs/>
          <w:sz w:val="20"/>
          <w:szCs w:val="20"/>
        </w:rPr>
      </w:pPr>
      <w:r w:rsidRPr="00E814A6">
        <w:rPr>
          <w:rFonts w:eastAsia="Times New Roman" w:cs="Times New Roman"/>
          <w:b/>
          <w:bCs/>
          <w:sz w:val="20"/>
          <w:szCs w:val="20"/>
        </w:rPr>
        <w:t xml:space="preserve">ADVERSE REACTIONS </w:t>
      </w:r>
    </w:p>
    <w:p w14:paraId="11FCFAEA" w14:textId="77777777" w:rsidR="009D3680" w:rsidRPr="00E814A6" w:rsidRDefault="009D3680" w:rsidP="009D3680">
      <w:pPr>
        <w:jc w:val="both"/>
        <w:rPr>
          <w:rFonts w:eastAsia="Times New Roman" w:cs="Times New Roman"/>
          <w:bCs/>
          <w:sz w:val="20"/>
          <w:szCs w:val="20"/>
          <w:u w:val="single"/>
        </w:rPr>
      </w:pPr>
    </w:p>
    <w:p w14:paraId="3132AB04" w14:textId="77777777" w:rsidR="009D3680" w:rsidRPr="00E814A6" w:rsidRDefault="009D3680" w:rsidP="009D3680">
      <w:pPr>
        <w:jc w:val="both"/>
        <w:rPr>
          <w:rFonts w:eastAsia="Times New Roman" w:cs="Times New Roman"/>
          <w:sz w:val="20"/>
          <w:szCs w:val="20"/>
        </w:rPr>
      </w:pPr>
      <w:r w:rsidRPr="00E814A6">
        <w:rPr>
          <w:rFonts w:eastAsia="Times New Roman" w:cs="Times New Roman"/>
          <w:sz w:val="20"/>
          <w:szCs w:val="20"/>
        </w:rPr>
        <w:t>Most common adverse drug reactions &gt;1%</w:t>
      </w:r>
      <w:r w:rsidRPr="00E814A6">
        <w:rPr>
          <w:rFonts w:ascii="AntiqueOliveStd-Light" w:eastAsia="AntiqueOliveStd-Light" w:cs="AntiqueOliveStd-Light"/>
          <w:sz w:val="16"/>
          <w:szCs w:val="16"/>
        </w:rPr>
        <w:t xml:space="preserve"> </w:t>
      </w:r>
      <w:r w:rsidRPr="00E814A6">
        <w:rPr>
          <w:rFonts w:eastAsia="Times New Roman" w:cs="Times New Roman"/>
          <w:sz w:val="20"/>
          <w:szCs w:val="20"/>
        </w:rPr>
        <w:t xml:space="preserve">of patients who received </w:t>
      </w:r>
      <w:proofErr w:type="spellStart"/>
      <w:r>
        <w:rPr>
          <w:rFonts w:eastAsia="Times New Roman" w:cs="Times New Roman"/>
          <w:sz w:val="20"/>
          <w:szCs w:val="20"/>
        </w:rPr>
        <w:t>SMOF</w:t>
      </w:r>
      <w:r w:rsidRPr="00E814A6">
        <w:rPr>
          <w:rFonts w:eastAsia="Times New Roman" w:cs="Times New Roman"/>
          <w:sz w:val="20"/>
          <w:szCs w:val="20"/>
        </w:rPr>
        <w:t>lipid</w:t>
      </w:r>
      <w:proofErr w:type="spellEnd"/>
      <w:r w:rsidRPr="00E814A6">
        <w:rPr>
          <w:rFonts w:eastAsia="Times New Roman" w:cs="Times New Roman"/>
          <w:sz w:val="20"/>
          <w:szCs w:val="20"/>
        </w:rPr>
        <w:t xml:space="preserve"> from clinical trials were nausea, vomiting, hyperglycemia, flatulence, pyrexia, abdominal pain, increased blood triglycerides, hypertension, sepsis, dyspepsia, urinary tract infection, anemia and device</w:t>
      </w:r>
      <w:r>
        <w:rPr>
          <w:rFonts w:eastAsia="Times New Roman" w:cs="Times New Roman"/>
          <w:sz w:val="20"/>
          <w:szCs w:val="20"/>
        </w:rPr>
        <w:t>-</w:t>
      </w:r>
      <w:r w:rsidRPr="00E814A6">
        <w:rPr>
          <w:rFonts w:eastAsia="Times New Roman" w:cs="Times New Roman"/>
          <w:sz w:val="20"/>
          <w:szCs w:val="20"/>
        </w:rPr>
        <w:t>related infection.</w:t>
      </w:r>
    </w:p>
    <w:p w14:paraId="7FD78148" w14:textId="77777777" w:rsidR="009D3680" w:rsidRPr="00E814A6" w:rsidRDefault="009D3680" w:rsidP="009D3680">
      <w:pPr>
        <w:autoSpaceDE w:val="0"/>
        <w:autoSpaceDN w:val="0"/>
        <w:adjustRightInd w:val="0"/>
        <w:jc w:val="both"/>
        <w:rPr>
          <w:rFonts w:eastAsia="TimesNewRomanPSMT" w:cs="TimesNewRomanPSMT"/>
          <w:sz w:val="20"/>
          <w:szCs w:val="20"/>
        </w:rPr>
      </w:pPr>
    </w:p>
    <w:p w14:paraId="09879647" w14:textId="77777777" w:rsidR="009D3680" w:rsidRPr="00E814A6" w:rsidRDefault="009D3680" w:rsidP="009D3680">
      <w:pPr>
        <w:autoSpaceDE w:val="0"/>
        <w:autoSpaceDN w:val="0"/>
        <w:adjustRightInd w:val="0"/>
        <w:jc w:val="both"/>
        <w:rPr>
          <w:rFonts w:eastAsia="TimesNewRomanPSMT" w:cs="Times New Roman"/>
          <w:sz w:val="20"/>
          <w:szCs w:val="20"/>
        </w:rPr>
      </w:pPr>
      <w:r w:rsidRPr="00E814A6">
        <w:rPr>
          <w:rFonts w:eastAsia="TimesNewRomanPSMT" w:cs="TimesNewRomanPSMT"/>
          <w:sz w:val="20"/>
          <w:szCs w:val="20"/>
        </w:rPr>
        <w:t xml:space="preserve">Less common adverse reactions in ≤ </w:t>
      </w:r>
      <w:r w:rsidRPr="00E814A6">
        <w:rPr>
          <w:rFonts w:eastAsia="TimesNewRomanPSMT" w:cs="Times New Roman"/>
          <w:sz w:val="20"/>
          <w:szCs w:val="20"/>
        </w:rPr>
        <w:t xml:space="preserve">1% of patients who received </w:t>
      </w:r>
      <w:proofErr w:type="spellStart"/>
      <w:r>
        <w:rPr>
          <w:rFonts w:eastAsia="TimesNewRomanPSMT" w:cs="Times New Roman"/>
          <w:sz w:val="20"/>
          <w:szCs w:val="20"/>
        </w:rPr>
        <w:t>SMOF</w:t>
      </w:r>
      <w:r w:rsidRPr="00E814A6">
        <w:rPr>
          <w:rFonts w:eastAsia="TimesNewRomanPSMT" w:cs="Times New Roman"/>
          <w:sz w:val="20"/>
          <w:szCs w:val="20"/>
        </w:rPr>
        <w:t>lipid</w:t>
      </w:r>
      <w:proofErr w:type="spellEnd"/>
      <w:r w:rsidRPr="00E814A6">
        <w:rPr>
          <w:rFonts w:eastAsia="TimesNewRomanPSMT" w:cs="Times New Roman"/>
          <w:sz w:val="20"/>
          <w:szCs w:val="20"/>
        </w:rPr>
        <w:t xml:space="preserve"> were dyspnea, leukocytosis, diarrhea, pneumonia, cholestasis, dysgeusia, increased blood alkaline phosphatase, increased gamma-</w:t>
      </w:r>
      <w:proofErr w:type="spellStart"/>
      <w:r w:rsidRPr="00E814A6">
        <w:rPr>
          <w:rFonts w:eastAsia="TimesNewRomanPSMT" w:cs="Times New Roman"/>
          <w:sz w:val="20"/>
          <w:szCs w:val="20"/>
        </w:rPr>
        <w:t>glutamyltransferase</w:t>
      </w:r>
      <w:proofErr w:type="spellEnd"/>
      <w:r w:rsidRPr="00E814A6">
        <w:rPr>
          <w:rFonts w:eastAsia="TimesNewRomanPSMT" w:cs="Times New Roman"/>
          <w:sz w:val="20"/>
          <w:szCs w:val="20"/>
        </w:rPr>
        <w:t>, increased C-reactive protein, tachycardia, liver function test abnormalities, headache, pruritis, dizziness, rash and</w:t>
      </w:r>
    </w:p>
    <w:p w14:paraId="319CE3A8" w14:textId="77777777" w:rsidR="009D3680" w:rsidRPr="00E814A6" w:rsidRDefault="009D3680" w:rsidP="009D3680">
      <w:pPr>
        <w:jc w:val="both"/>
        <w:rPr>
          <w:rFonts w:eastAsia="Times New Roman" w:cs="Times New Roman"/>
          <w:sz w:val="20"/>
          <w:szCs w:val="20"/>
          <w:u w:val="single"/>
        </w:rPr>
      </w:pPr>
      <w:r w:rsidRPr="00E814A6">
        <w:rPr>
          <w:rFonts w:eastAsia="TimesNewRomanPSMT" w:cs="Times New Roman"/>
          <w:sz w:val="20"/>
          <w:szCs w:val="20"/>
        </w:rPr>
        <w:t>thrombophlebitis.</w:t>
      </w:r>
    </w:p>
    <w:p w14:paraId="6AD670E8" w14:textId="77777777" w:rsidR="009D3680" w:rsidRPr="00E814A6" w:rsidRDefault="009D3680" w:rsidP="009D3680">
      <w:pPr>
        <w:jc w:val="both"/>
        <w:rPr>
          <w:rFonts w:eastAsia="Times New Roman" w:cs="Times New Roman"/>
          <w:sz w:val="20"/>
          <w:szCs w:val="20"/>
        </w:rPr>
      </w:pPr>
    </w:p>
    <w:p w14:paraId="3FB65C0F" w14:textId="77777777" w:rsidR="009D3680" w:rsidRPr="009D5CCA" w:rsidRDefault="009D3680" w:rsidP="009D3680">
      <w:pPr>
        <w:autoSpaceDE w:val="0"/>
        <w:autoSpaceDN w:val="0"/>
        <w:adjustRightInd w:val="0"/>
        <w:jc w:val="both"/>
        <w:rPr>
          <w:rFonts w:eastAsia="Times New Roman" w:cs="Times New Roman"/>
          <w:sz w:val="20"/>
          <w:szCs w:val="20"/>
          <w:u w:val="single"/>
        </w:rPr>
      </w:pPr>
      <w:r w:rsidRPr="00E814A6">
        <w:rPr>
          <w:rFonts w:cs="Times New Roman"/>
          <w:sz w:val="20"/>
          <w:szCs w:val="20"/>
        </w:rPr>
        <w:t xml:space="preserve">The following adverse reactions have been identified during post-approval use of </w:t>
      </w:r>
      <w:proofErr w:type="spellStart"/>
      <w:r>
        <w:rPr>
          <w:rFonts w:cs="Times New Roman"/>
          <w:sz w:val="20"/>
          <w:szCs w:val="20"/>
        </w:rPr>
        <w:t>SMOF</w:t>
      </w:r>
      <w:r w:rsidRPr="00E814A6">
        <w:rPr>
          <w:rFonts w:cs="Times New Roman"/>
          <w:sz w:val="20"/>
          <w:szCs w:val="20"/>
        </w:rPr>
        <w:t>lipid</w:t>
      </w:r>
      <w:proofErr w:type="spellEnd"/>
      <w:r w:rsidRPr="00E814A6">
        <w:rPr>
          <w:rFonts w:cs="Times New Roman"/>
          <w:sz w:val="20"/>
          <w:szCs w:val="20"/>
        </w:rPr>
        <w:t xml:space="preserve"> in countries where it is registered.  Infections and Infestations: infection.  Respiratory, Thoracic and Mediastinal Disorders: dyspnea</w:t>
      </w:r>
      <w:r w:rsidRPr="00F00649">
        <w:rPr>
          <w:rFonts w:cs="Times New Roman"/>
          <w:sz w:val="20"/>
          <w:szCs w:val="20"/>
        </w:rPr>
        <w:t>.</w:t>
      </w:r>
    </w:p>
    <w:p w14:paraId="51F674F4" w14:textId="77777777" w:rsidR="009D3680" w:rsidRPr="007E7D4F" w:rsidRDefault="009D3680" w:rsidP="009D3680">
      <w:pPr>
        <w:jc w:val="both"/>
        <w:rPr>
          <w:rFonts w:eastAsia="Times New Roman" w:cs="Times New Roman"/>
          <w:sz w:val="20"/>
          <w:szCs w:val="20"/>
        </w:rPr>
      </w:pPr>
    </w:p>
    <w:p w14:paraId="76F195BF" w14:textId="77777777" w:rsidR="009D3680" w:rsidRPr="007E7D4F" w:rsidRDefault="009D3680" w:rsidP="009D3680">
      <w:pPr>
        <w:jc w:val="both"/>
        <w:rPr>
          <w:rFonts w:eastAsia="Times New Roman" w:cs="Times New Roman"/>
          <w:sz w:val="20"/>
          <w:szCs w:val="20"/>
        </w:rPr>
      </w:pPr>
      <w:r w:rsidRPr="007E7D4F">
        <w:rPr>
          <w:rFonts w:eastAsia="Times New Roman" w:cs="Times New Roman"/>
          <w:b/>
          <w:bCs/>
          <w:sz w:val="20"/>
          <w:szCs w:val="20"/>
        </w:rPr>
        <w:t xml:space="preserve">To report SUSPECTED ADVERSE REACTIONS, contact Fresenius </w:t>
      </w:r>
      <w:proofErr w:type="spellStart"/>
      <w:r w:rsidRPr="007E7D4F">
        <w:rPr>
          <w:rFonts w:eastAsia="Times New Roman" w:cs="Times New Roman"/>
          <w:b/>
          <w:bCs/>
          <w:sz w:val="20"/>
          <w:szCs w:val="20"/>
        </w:rPr>
        <w:t>Kabi</w:t>
      </w:r>
      <w:proofErr w:type="spellEnd"/>
      <w:r w:rsidRPr="007E7D4F">
        <w:rPr>
          <w:rFonts w:eastAsia="Times New Roman" w:cs="Times New Roman"/>
          <w:b/>
          <w:bCs/>
          <w:sz w:val="20"/>
          <w:szCs w:val="20"/>
        </w:rPr>
        <w:t xml:space="preserve"> USA, LLC at 1-800-551-7176</w:t>
      </w:r>
      <w:r>
        <w:rPr>
          <w:rFonts w:eastAsia="Times New Roman" w:cs="Times New Roman"/>
          <w:b/>
          <w:bCs/>
          <w:sz w:val="20"/>
          <w:szCs w:val="20"/>
        </w:rPr>
        <w:t xml:space="preserve">, </w:t>
      </w:r>
      <w:r w:rsidRPr="00C42056">
        <w:rPr>
          <w:b/>
          <w:bCs/>
          <w:sz w:val="20"/>
          <w:szCs w:val="20"/>
        </w:rPr>
        <w:t xml:space="preserve">option 5, </w:t>
      </w:r>
      <w:r w:rsidRPr="007E7D4F">
        <w:rPr>
          <w:rFonts w:eastAsia="Times New Roman" w:cs="Times New Roman"/>
          <w:b/>
          <w:bCs/>
          <w:sz w:val="20"/>
          <w:szCs w:val="20"/>
        </w:rPr>
        <w:t xml:space="preserve">or FDA at 1-800-FDA-1088 or </w:t>
      </w:r>
      <w:r w:rsidRPr="00136575">
        <w:rPr>
          <w:rFonts w:eastAsia="Times New Roman" w:cs="Times New Roman"/>
          <w:b/>
          <w:bCs/>
          <w:sz w:val="20"/>
          <w:szCs w:val="20"/>
        </w:rPr>
        <w:t>www.fda.gov/medwatch</w:t>
      </w:r>
      <w:r w:rsidRPr="007E7D4F">
        <w:rPr>
          <w:rFonts w:eastAsia="Times New Roman" w:cs="Times New Roman"/>
          <w:b/>
          <w:bCs/>
          <w:i/>
          <w:iCs/>
          <w:sz w:val="20"/>
          <w:szCs w:val="20"/>
        </w:rPr>
        <w:t xml:space="preserve">. </w:t>
      </w:r>
    </w:p>
    <w:p w14:paraId="2D0AA9D0" w14:textId="77777777" w:rsidR="009D3680" w:rsidRPr="007E7D4F" w:rsidRDefault="009D3680" w:rsidP="009D3680">
      <w:pPr>
        <w:jc w:val="both"/>
        <w:rPr>
          <w:rFonts w:eastAsia="Times New Roman" w:cs="Times New Roman"/>
          <w:b/>
          <w:bCs/>
          <w:sz w:val="20"/>
          <w:szCs w:val="20"/>
        </w:rPr>
      </w:pPr>
    </w:p>
    <w:p w14:paraId="0D2159EC" w14:textId="77777777" w:rsidR="009D3680" w:rsidRPr="00F00649" w:rsidRDefault="009D3680" w:rsidP="009D3680">
      <w:pPr>
        <w:jc w:val="both"/>
        <w:rPr>
          <w:rFonts w:eastAsia="Times New Roman" w:cs="Times New Roman"/>
          <w:b/>
          <w:bCs/>
          <w:sz w:val="20"/>
          <w:szCs w:val="20"/>
        </w:rPr>
      </w:pPr>
      <w:r w:rsidRPr="00F00649">
        <w:rPr>
          <w:rFonts w:eastAsia="Times New Roman" w:cs="Times New Roman"/>
          <w:b/>
          <w:bCs/>
          <w:sz w:val="20"/>
          <w:szCs w:val="20"/>
        </w:rPr>
        <w:t>DRUG INTERACTIONS</w:t>
      </w:r>
    </w:p>
    <w:p w14:paraId="53835F8A" w14:textId="77777777" w:rsidR="009D3680" w:rsidRPr="00F00649" w:rsidRDefault="009D3680" w:rsidP="009D3680">
      <w:pPr>
        <w:jc w:val="both"/>
        <w:rPr>
          <w:rFonts w:eastAsia="Times New Roman" w:cs="Times New Roman"/>
          <w:sz w:val="20"/>
          <w:szCs w:val="20"/>
        </w:rPr>
      </w:pPr>
      <w:r w:rsidRPr="00F00649">
        <w:rPr>
          <w:rFonts w:eastAsia="Times New Roman" w:cs="Times New Roman"/>
          <w:sz w:val="20"/>
          <w:szCs w:val="20"/>
        </w:rPr>
        <w:t>Coumarin and Coumarin Derivatives, Including Warfarin: Anticoagulant activity may be counteracted; monitor laboratory parameters.</w:t>
      </w:r>
    </w:p>
    <w:p w14:paraId="71F522CC" w14:textId="77777777" w:rsidR="009D3680" w:rsidRPr="00F00649" w:rsidRDefault="009D3680" w:rsidP="009D3680">
      <w:pPr>
        <w:jc w:val="both"/>
        <w:rPr>
          <w:b/>
          <w:sz w:val="20"/>
          <w:szCs w:val="20"/>
        </w:rPr>
      </w:pPr>
    </w:p>
    <w:p w14:paraId="6444DB00" w14:textId="77777777" w:rsidR="009D3680" w:rsidRPr="00E814A6" w:rsidRDefault="009D3680" w:rsidP="009D3680">
      <w:pPr>
        <w:jc w:val="both"/>
        <w:rPr>
          <w:b/>
          <w:sz w:val="20"/>
          <w:szCs w:val="20"/>
        </w:rPr>
      </w:pPr>
      <w:r w:rsidRPr="00E814A6">
        <w:rPr>
          <w:b/>
          <w:sz w:val="20"/>
          <w:szCs w:val="20"/>
        </w:rPr>
        <w:t>USE IN SPECIFIC POPULATIONS</w:t>
      </w:r>
    </w:p>
    <w:p w14:paraId="4092889C" w14:textId="77777777" w:rsidR="009D3680" w:rsidRPr="0082290D" w:rsidRDefault="009D3680" w:rsidP="009D3680">
      <w:pPr>
        <w:pStyle w:val="ListParagraph"/>
        <w:numPr>
          <w:ilvl w:val="0"/>
          <w:numId w:val="3"/>
        </w:numPr>
        <w:autoSpaceDE w:val="0"/>
        <w:autoSpaceDN w:val="0"/>
        <w:adjustRightInd w:val="0"/>
        <w:spacing w:after="0" w:line="240" w:lineRule="auto"/>
        <w:jc w:val="both"/>
        <w:rPr>
          <w:rFonts w:cs="Frutiger-Cn"/>
          <w:sz w:val="20"/>
          <w:szCs w:val="20"/>
        </w:rPr>
      </w:pPr>
      <w:r w:rsidRPr="00747C58">
        <w:rPr>
          <w:sz w:val="20"/>
          <w:szCs w:val="20"/>
        </w:rPr>
        <w:t xml:space="preserve">Pregnancy and Lactation:  There are no available data on risks associated with </w:t>
      </w:r>
      <w:proofErr w:type="spellStart"/>
      <w:r w:rsidRPr="00747C58">
        <w:rPr>
          <w:sz w:val="20"/>
          <w:szCs w:val="20"/>
        </w:rPr>
        <w:t>SMOFlipid</w:t>
      </w:r>
      <w:proofErr w:type="spellEnd"/>
      <w:r w:rsidRPr="00747C58">
        <w:rPr>
          <w:sz w:val="20"/>
          <w:szCs w:val="20"/>
        </w:rPr>
        <w:t xml:space="preserve"> when used in pregnant or lactating women</w:t>
      </w:r>
      <w:r w:rsidRPr="0082290D">
        <w:rPr>
          <w:rFonts w:cs="Times New Roman"/>
          <w:sz w:val="20"/>
          <w:szCs w:val="20"/>
        </w:rPr>
        <w:t xml:space="preserve">.  </w:t>
      </w:r>
    </w:p>
    <w:p w14:paraId="508F9AF1" w14:textId="77777777" w:rsidR="009D3680" w:rsidRPr="00E814A6" w:rsidRDefault="009D3680" w:rsidP="009D3680">
      <w:pPr>
        <w:pStyle w:val="ListParagraph"/>
        <w:numPr>
          <w:ilvl w:val="0"/>
          <w:numId w:val="3"/>
        </w:numPr>
        <w:autoSpaceDE w:val="0"/>
        <w:autoSpaceDN w:val="0"/>
        <w:adjustRightInd w:val="0"/>
        <w:spacing w:after="0" w:line="240" w:lineRule="auto"/>
        <w:jc w:val="both"/>
        <w:rPr>
          <w:rFonts w:cs="Frutiger-Cn"/>
          <w:sz w:val="20"/>
          <w:szCs w:val="20"/>
        </w:rPr>
      </w:pPr>
      <w:r w:rsidRPr="00E814A6">
        <w:rPr>
          <w:rFonts w:cs="Frutiger-Cn"/>
          <w:sz w:val="20"/>
          <w:szCs w:val="20"/>
        </w:rPr>
        <w:t xml:space="preserve">Pediatric Use:  </w:t>
      </w:r>
      <w:r w:rsidRPr="00E814A6">
        <w:rPr>
          <w:rFonts w:cs="Times New Roman"/>
          <w:sz w:val="20"/>
          <w:szCs w:val="20"/>
        </w:rPr>
        <w:t xml:space="preserve">The safety and effectiveness of </w:t>
      </w:r>
      <w:proofErr w:type="spellStart"/>
      <w:r>
        <w:rPr>
          <w:rFonts w:cs="Times New Roman"/>
          <w:sz w:val="20"/>
          <w:szCs w:val="20"/>
        </w:rPr>
        <w:t>SMOF</w:t>
      </w:r>
      <w:r w:rsidRPr="00E814A6">
        <w:rPr>
          <w:rFonts w:cs="Times New Roman"/>
          <w:sz w:val="20"/>
          <w:szCs w:val="20"/>
        </w:rPr>
        <w:t>lipid</w:t>
      </w:r>
      <w:proofErr w:type="spellEnd"/>
      <w:r w:rsidRPr="00E814A6">
        <w:rPr>
          <w:rFonts w:cs="Times New Roman"/>
          <w:sz w:val="20"/>
          <w:szCs w:val="20"/>
        </w:rPr>
        <w:t xml:space="preserve"> have not been established in pediatric patients.  </w:t>
      </w:r>
    </w:p>
    <w:p w14:paraId="3037FA53" w14:textId="77777777" w:rsidR="009D3680" w:rsidRPr="00E814A6" w:rsidRDefault="009D3680" w:rsidP="009D3680">
      <w:pPr>
        <w:pStyle w:val="ListParagraph"/>
        <w:numPr>
          <w:ilvl w:val="0"/>
          <w:numId w:val="3"/>
        </w:numPr>
        <w:autoSpaceDE w:val="0"/>
        <w:autoSpaceDN w:val="0"/>
        <w:adjustRightInd w:val="0"/>
        <w:spacing w:after="0" w:line="240" w:lineRule="auto"/>
        <w:jc w:val="both"/>
        <w:rPr>
          <w:b/>
          <w:sz w:val="20"/>
          <w:szCs w:val="20"/>
        </w:rPr>
      </w:pPr>
      <w:r w:rsidRPr="00E814A6">
        <w:rPr>
          <w:rFonts w:cs="Times New Roman"/>
          <w:bCs/>
          <w:sz w:val="20"/>
          <w:szCs w:val="20"/>
        </w:rPr>
        <w:t xml:space="preserve">Hepatic Impairment:  </w:t>
      </w:r>
      <w:r w:rsidRPr="00E814A6">
        <w:rPr>
          <w:rFonts w:cs="Times New Roman"/>
          <w:sz w:val="20"/>
          <w:szCs w:val="20"/>
        </w:rPr>
        <w:t xml:space="preserve">Parenteral nutrition should be used with caution in patients with hepatic impairment. Hepatobiliary disorders are known to develop in some patients without preexisting liver disease who receive PN, including cholestasis, hepatic steatosis, fibrosis and cirrhosis (PN associated liver disease), possibly leading to hepatic failure.  </w:t>
      </w:r>
    </w:p>
    <w:p w14:paraId="6E8B15C5" w14:textId="77777777" w:rsidR="009D3680" w:rsidRDefault="009D3680" w:rsidP="009D3680">
      <w:pPr>
        <w:jc w:val="both"/>
        <w:rPr>
          <w:b/>
          <w:sz w:val="20"/>
          <w:szCs w:val="20"/>
        </w:rPr>
      </w:pPr>
    </w:p>
    <w:p w14:paraId="68CF1BAD" w14:textId="77777777" w:rsidR="009D3680" w:rsidRPr="00E814A6" w:rsidRDefault="009D3680" w:rsidP="009D3680">
      <w:pPr>
        <w:jc w:val="both"/>
        <w:rPr>
          <w:b/>
          <w:sz w:val="20"/>
          <w:szCs w:val="20"/>
        </w:rPr>
      </w:pPr>
      <w:r w:rsidRPr="00E814A6">
        <w:rPr>
          <w:b/>
          <w:sz w:val="20"/>
          <w:szCs w:val="20"/>
        </w:rPr>
        <w:t>OVERDOSAGE</w:t>
      </w:r>
    </w:p>
    <w:p w14:paraId="6C65B873" w14:textId="77777777" w:rsidR="009D3680" w:rsidRPr="007E7D4F" w:rsidRDefault="009D3680" w:rsidP="009D3680">
      <w:pPr>
        <w:jc w:val="both"/>
        <w:rPr>
          <w:sz w:val="20"/>
          <w:szCs w:val="20"/>
        </w:rPr>
      </w:pPr>
      <w:r w:rsidRPr="00E814A6">
        <w:rPr>
          <w:sz w:val="20"/>
          <w:szCs w:val="20"/>
        </w:rPr>
        <w:t xml:space="preserve">In the event of an overdose, fat overload syndrome may occur. Stop the </w:t>
      </w:r>
      <w:proofErr w:type="spellStart"/>
      <w:r>
        <w:rPr>
          <w:sz w:val="20"/>
          <w:szCs w:val="20"/>
        </w:rPr>
        <w:t>SMOF</w:t>
      </w:r>
      <w:r w:rsidRPr="00E814A6">
        <w:rPr>
          <w:sz w:val="20"/>
          <w:szCs w:val="20"/>
        </w:rPr>
        <w:t>lipid</w:t>
      </w:r>
      <w:proofErr w:type="spellEnd"/>
      <w:r w:rsidRPr="00E814A6">
        <w:rPr>
          <w:sz w:val="20"/>
          <w:szCs w:val="20"/>
        </w:rPr>
        <w:t xml:space="preserve"> infusion until triglyceride levels have normalized.  The effects are usually reversible by stopping the lipid infusion. If medically appropriate, further intervention may be indicated. Lipids are not dialyzable from serum.</w:t>
      </w:r>
    </w:p>
    <w:p w14:paraId="1562169B" w14:textId="77777777" w:rsidR="009D3680" w:rsidRDefault="009D3680" w:rsidP="009D3680">
      <w:pPr>
        <w:jc w:val="both"/>
        <w:rPr>
          <w:rFonts w:eastAsia="Times New Roman" w:cs="Times New Roman"/>
          <w:b/>
          <w:bCs/>
          <w:sz w:val="20"/>
          <w:szCs w:val="20"/>
        </w:rPr>
      </w:pPr>
    </w:p>
    <w:p w14:paraId="2E1EAB06" w14:textId="77777777" w:rsidR="009D3680" w:rsidRDefault="009D3680" w:rsidP="002028C1">
      <w:pPr>
        <w:autoSpaceDE w:val="0"/>
        <w:autoSpaceDN w:val="0"/>
        <w:adjustRightInd w:val="0"/>
        <w:spacing w:after="360"/>
        <w:rPr>
          <w:color w:val="FF0000"/>
          <w:sz w:val="22"/>
          <w:szCs w:val="22"/>
        </w:rPr>
      </w:pPr>
      <w:bookmarkStart w:id="0" w:name="_GoBack"/>
      <w:bookmarkEnd w:id="0"/>
    </w:p>
    <w:sectPr w:rsidR="009D3680" w:rsidSect="007467F6">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BoldCn">
    <w:altName w:val="Calibri"/>
    <w:panose1 w:val="00000000000000000000"/>
    <w:charset w:val="00"/>
    <w:family w:val="auto"/>
    <w:notTrueType/>
    <w:pitch w:val="default"/>
    <w:sig w:usb0="00000003" w:usb1="00000000" w:usb2="00000000" w:usb3="00000000" w:csb0="00000001" w:csb1="00000000"/>
  </w:font>
  <w:font w:name="AntiqueOliveStd-Light">
    <w:altName w:val="Yu Gothic"/>
    <w:panose1 w:val="00000000000000000000"/>
    <w:charset w:val="80"/>
    <w:family w:val="swiss"/>
    <w:notTrueType/>
    <w:pitch w:val="default"/>
    <w:sig w:usb0="00000000" w:usb1="08070000" w:usb2="00000010" w:usb3="00000000" w:csb0="00020000"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Frutiger-C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04CE5"/>
    <w:multiLevelType w:val="multilevel"/>
    <w:tmpl w:val="6A781550"/>
    <w:lvl w:ilvl="0">
      <w:start w:val="1"/>
      <w:numFmt w:val="bullet"/>
      <w:lvlText w:val=""/>
      <w:lvlJc w:val="left"/>
      <w:pPr>
        <w:ind w:left="432" w:hanging="432"/>
      </w:pPr>
      <w:rPr>
        <w:rFonts w:ascii="Symbol" w:hAnsi="Symbol" w:hint="default"/>
      </w:rPr>
    </w:lvl>
    <w:lvl w:ilvl="1">
      <w:start w:val="1"/>
      <w:numFmt w:val="bullet"/>
      <w:lvlText w:val="o"/>
      <w:lvlJc w:val="left"/>
      <w:pPr>
        <w:ind w:left="1512" w:hanging="432"/>
      </w:pPr>
      <w:rPr>
        <w:rFonts w:ascii="Courier New" w:hAnsi="Courier New" w:cs="Courier New" w:hint="default"/>
      </w:rPr>
    </w:lvl>
    <w:lvl w:ilvl="2">
      <w:start w:val="1"/>
      <w:numFmt w:val="bullet"/>
      <w:lvlText w:val=""/>
      <w:lvlJc w:val="left"/>
      <w:pPr>
        <w:ind w:left="2592" w:hanging="432"/>
      </w:pPr>
      <w:rPr>
        <w:rFonts w:ascii="Wingdings" w:hAnsi="Wingdings" w:hint="default"/>
      </w:rPr>
    </w:lvl>
    <w:lvl w:ilvl="3">
      <w:start w:val="1"/>
      <w:numFmt w:val="bullet"/>
      <w:lvlText w:val=""/>
      <w:lvlJc w:val="left"/>
      <w:pPr>
        <w:ind w:left="3672" w:hanging="432"/>
      </w:pPr>
      <w:rPr>
        <w:rFonts w:ascii="Symbol" w:hAnsi="Symbol" w:hint="default"/>
      </w:rPr>
    </w:lvl>
    <w:lvl w:ilvl="4">
      <w:start w:val="1"/>
      <w:numFmt w:val="bullet"/>
      <w:lvlText w:val="o"/>
      <w:lvlJc w:val="left"/>
      <w:pPr>
        <w:ind w:left="4752" w:hanging="432"/>
      </w:pPr>
      <w:rPr>
        <w:rFonts w:ascii="Courier New" w:hAnsi="Courier New" w:cs="Courier New" w:hint="default"/>
      </w:rPr>
    </w:lvl>
    <w:lvl w:ilvl="5">
      <w:start w:val="1"/>
      <w:numFmt w:val="bullet"/>
      <w:lvlText w:val=""/>
      <w:lvlJc w:val="left"/>
      <w:pPr>
        <w:ind w:left="5832" w:hanging="432"/>
      </w:pPr>
      <w:rPr>
        <w:rFonts w:ascii="Wingdings" w:hAnsi="Wingdings" w:hint="default"/>
      </w:rPr>
    </w:lvl>
    <w:lvl w:ilvl="6">
      <w:start w:val="1"/>
      <w:numFmt w:val="bullet"/>
      <w:lvlText w:val=""/>
      <w:lvlJc w:val="left"/>
      <w:pPr>
        <w:ind w:left="6912" w:hanging="432"/>
      </w:pPr>
      <w:rPr>
        <w:rFonts w:ascii="Symbol" w:hAnsi="Symbol" w:hint="default"/>
      </w:rPr>
    </w:lvl>
    <w:lvl w:ilvl="7">
      <w:start w:val="1"/>
      <w:numFmt w:val="bullet"/>
      <w:lvlText w:val="o"/>
      <w:lvlJc w:val="left"/>
      <w:pPr>
        <w:ind w:left="7992" w:hanging="432"/>
      </w:pPr>
      <w:rPr>
        <w:rFonts w:ascii="Courier New" w:hAnsi="Courier New" w:cs="Courier New" w:hint="default"/>
      </w:rPr>
    </w:lvl>
    <w:lvl w:ilvl="8">
      <w:start w:val="1"/>
      <w:numFmt w:val="bullet"/>
      <w:lvlText w:val=""/>
      <w:lvlJc w:val="left"/>
      <w:pPr>
        <w:ind w:left="9072" w:hanging="432"/>
      </w:pPr>
      <w:rPr>
        <w:rFonts w:ascii="Wingdings" w:hAnsi="Wingdings" w:hint="default"/>
      </w:rPr>
    </w:lvl>
  </w:abstractNum>
  <w:abstractNum w:abstractNumId="1" w15:restartNumberingAfterBreak="0">
    <w:nsid w:val="41D25E4E"/>
    <w:multiLevelType w:val="multilevel"/>
    <w:tmpl w:val="6A781550"/>
    <w:lvl w:ilvl="0">
      <w:start w:val="1"/>
      <w:numFmt w:val="bullet"/>
      <w:lvlText w:val=""/>
      <w:lvlJc w:val="left"/>
      <w:pPr>
        <w:ind w:left="432" w:hanging="432"/>
      </w:pPr>
      <w:rPr>
        <w:rFonts w:ascii="Symbol" w:hAnsi="Symbol" w:hint="default"/>
      </w:rPr>
    </w:lvl>
    <w:lvl w:ilvl="1">
      <w:start w:val="1"/>
      <w:numFmt w:val="bullet"/>
      <w:lvlText w:val="o"/>
      <w:lvlJc w:val="left"/>
      <w:pPr>
        <w:ind w:left="1512" w:hanging="432"/>
      </w:pPr>
      <w:rPr>
        <w:rFonts w:ascii="Courier New" w:hAnsi="Courier New" w:cs="Courier New" w:hint="default"/>
      </w:rPr>
    </w:lvl>
    <w:lvl w:ilvl="2">
      <w:start w:val="1"/>
      <w:numFmt w:val="bullet"/>
      <w:lvlText w:val=""/>
      <w:lvlJc w:val="left"/>
      <w:pPr>
        <w:ind w:left="2592" w:hanging="432"/>
      </w:pPr>
      <w:rPr>
        <w:rFonts w:ascii="Wingdings" w:hAnsi="Wingdings" w:hint="default"/>
      </w:rPr>
    </w:lvl>
    <w:lvl w:ilvl="3">
      <w:start w:val="1"/>
      <w:numFmt w:val="bullet"/>
      <w:lvlText w:val=""/>
      <w:lvlJc w:val="left"/>
      <w:pPr>
        <w:ind w:left="3672" w:hanging="432"/>
      </w:pPr>
      <w:rPr>
        <w:rFonts w:ascii="Symbol" w:hAnsi="Symbol" w:hint="default"/>
      </w:rPr>
    </w:lvl>
    <w:lvl w:ilvl="4">
      <w:start w:val="1"/>
      <w:numFmt w:val="bullet"/>
      <w:lvlText w:val="o"/>
      <w:lvlJc w:val="left"/>
      <w:pPr>
        <w:ind w:left="4752" w:hanging="432"/>
      </w:pPr>
      <w:rPr>
        <w:rFonts w:ascii="Courier New" w:hAnsi="Courier New" w:cs="Courier New" w:hint="default"/>
      </w:rPr>
    </w:lvl>
    <w:lvl w:ilvl="5">
      <w:start w:val="1"/>
      <w:numFmt w:val="bullet"/>
      <w:lvlText w:val=""/>
      <w:lvlJc w:val="left"/>
      <w:pPr>
        <w:ind w:left="5832" w:hanging="432"/>
      </w:pPr>
      <w:rPr>
        <w:rFonts w:ascii="Wingdings" w:hAnsi="Wingdings" w:hint="default"/>
      </w:rPr>
    </w:lvl>
    <w:lvl w:ilvl="6">
      <w:start w:val="1"/>
      <w:numFmt w:val="bullet"/>
      <w:lvlText w:val=""/>
      <w:lvlJc w:val="left"/>
      <w:pPr>
        <w:ind w:left="6912" w:hanging="432"/>
      </w:pPr>
      <w:rPr>
        <w:rFonts w:ascii="Symbol" w:hAnsi="Symbol" w:hint="default"/>
      </w:rPr>
    </w:lvl>
    <w:lvl w:ilvl="7">
      <w:start w:val="1"/>
      <w:numFmt w:val="bullet"/>
      <w:lvlText w:val="o"/>
      <w:lvlJc w:val="left"/>
      <w:pPr>
        <w:ind w:left="7992" w:hanging="432"/>
      </w:pPr>
      <w:rPr>
        <w:rFonts w:ascii="Courier New" w:hAnsi="Courier New" w:cs="Courier New" w:hint="default"/>
      </w:rPr>
    </w:lvl>
    <w:lvl w:ilvl="8">
      <w:start w:val="1"/>
      <w:numFmt w:val="bullet"/>
      <w:lvlText w:val=""/>
      <w:lvlJc w:val="left"/>
      <w:pPr>
        <w:ind w:left="9072" w:hanging="432"/>
      </w:pPr>
      <w:rPr>
        <w:rFonts w:ascii="Wingdings" w:hAnsi="Wingdings" w:hint="default"/>
      </w:rPr>
    </w:lvl>
  </w:abstractNum>
  <w:abstractNum w:abstractNumId="2" w15:restartNumberingAfterBreak="0">
    <w:nsid w:val="630574BE"/>
    <w:multiLevelType w:val="hybridMultilevel"/>
    <w:tmpl w:val="E2F4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EC2024"/>
    <w:multiLevelType w:val="hybridMultilevel"/>
    <w:tmpl w:val="2C02AA34"/>
    <w:lvl w:ilvl="0" w:tplc="2ABA954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7F6"/>
    <w:rsid w:val="000164E2"/>
    <w:rsid w:val="00027CAF"/>
    <w:rsid w:val="000E78B5"/>
    <w:rsid w:val="00103922"/>
    <w:rsid w:val="0011657D"/>
    <w:rsid w:val="00202696"/>
    <w:rsid w:val="002028C1"/>
    <w:rsid w:val="00235F8C"/>
    <w:rsid w:val="002874F5"/>
    <w:rsid w:val="00340F48"/>
    <w:rsid w:val="00364FDF"/>
    <w:rsid w:val="003F1D52"/>
    <w:rsid w:val="00496C57"/>
    <w:rsid w:val="0049789F"/>
    <w:rsid w:val="0056009F"/>
    <w:rsid w:val="00562544"/>
    <w:rsid w:val="006165EB"/>
    <w:rsid w:val="00636AB1"/>
    <w:rsid w:val="00647F7B"/>
    <w:rsid w:val="00696B70"/>
    <w:rsid w:val="006B0ED7"/>
    <w:rsid w:val="006B5A03"/>
    <w:rsid w:val="006E53DE"/>
    <w:rsid w:val="007351F4"/>
    <w:rsid w:val="0074263C"/>
    <w:rsid w:val="007467F6"/>
    <w:rsid w:val="00876422"/>
    <w:rsid w:val="0087772C"/>
    <w:rsid w:val="008828A3"/>
    <w:rsid w:val="008B1CD2"/>
    <w:rsid w:val="00907FC7"/>
    <w:rsid w:val="00920E2D"/>
    <w:rsid w:val="009D3680"/>
    <w:rsid w:val="009E10EF"/>
    <w:rsid w:val="00A02143"/>
    <w:rsid w:val="00A84410"/>
    <w:rsid w:val="00A96DC7"/>
    <w:rsid w:val="00AA016A"/>
    <w:rsid w:val="00AC5134"/>
    <w:rsid w:val="00B20ADB"/>
    <w:rsid w:val="00BB0A69"/>
    <w:rsid w:val="00BC0508"/>
    <w:rsid w:val="00BF3725"/>
    <w:rsid w:val="00C05C0E"/>
    <w:rsid w:val="00C465BD"/>
    <w:rsid w:val="00C6711D"/>
    <w:rsid w:val="00CE784E"/>
    <w:rsid w:val="00D644DF"/>
    <w:rsid w:val="00DA071E"/>
    <w:rsid w:val="00DA4ACE"/>
    <w:rsid w:val="00DE2F34"/>
    <w:rsid w:val="00DE43BA"/>
    <w:rsid w:val="00E419B9"/>
    <w:rsid w:val="00E45399"/>
    <w:rsid w:val="00EA0AF8"/>
    <w:rsid w:val="00ED7E1A"/>
    <w:rsid w:val="00F04A8F"/>
    <w:rsid w:val="00F14736"/>
    <w:rsid w:val="00F1698D"/>
    <w:rsid w:val="00F22376"/>
    <w:rsid w:val="00F82495"/>
    <w:rsid w:val="00FB3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51940"/>
  <w15:docId w15:val="{E83DBAA0-64F4-41D6-80C1-2D154A951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6B5A03"/>
    <w:rPr>
      <w:rFonts w:ascii="Helvetica" w:hAnsi="Helvetica" w:cs="Times New Roman"/>
      <w:color w:val="FF0000"/>
      <w:sz w:val="9"/>
      <w:szCs w:val="9"/>
    </w:rPr>
  </w:style>
  <w:style w:type="character" w:styleId="CommentReference">
    <w:name w:val="annotation reference"/>
    <w:basedOn w:val="DefaultParagraphFont"/>
    <w:uiPriority w:val="99"/>
    <w:semiHidden/>
    <w:unhideWhenUsed/>
    <w:rsid w:val="00DA071E"/>
    <w:rPr>
      <w:sz w:val="16"/>
      <w:szCs w:val="16"/>
    </w:rPr>
  </w:style>
  <w:style w:type="paragraph" w:styleId="CommentText">
    <w:name w:val="annotation text"/>
    <w:basedOn w:val="Normal"/>
    <w:link w:val="CommentTextChar"/>
    <w:uiPriority w:val="99"/>
    <w:semiHidden/>
    <w:unhideWhenUsed/>
    <w:rsid w:val="00DA071E"/>
    <w:rPr>
      <w:sz w:val="20"/>
      <w:szCs w:val="20"/>
    </w:rPr>
  </w:style>
  <w:style w:type="character" w:customStyle="1" w:styleId="CommentTextChar">
    <w:name w:val="Comment Text Char"/>
    <w:basedOn w:val="DefaultParagraphFont"/>
    <w:link w:val="CommentText"/>
    <w:uiPriority w:val="99"/>
    <w:semiHidden/>
    <w:rsid w:val="00DA071E"/>
    <w:rPr>
      <w:sz w:val="20"/>
      <w:szCs w:val="20"/>
    </w:rPr>
  </w:style>
  <w:style w:type="paragraph" w:styleId="CommentSubject">
    <w:name w:val="annotation subject"/>
    <w:basedOn w:val="CommentText"/>
    <w:next w:val="CommentText"/>
    <w:link w:val="CommentSubjectChar"/>
    <w:uiPriority w:val="99"/>
    <w:semiHidden/>
    <w:unhideWhenUsed/>
    <w:rsid w:val="00DA071E"/>
    <w:rPr>
      <w:b/>
      <w:bCs/>
    </w:rPr>
  </w:style>
  <w:style w:type="character" w:customStyle="1" w:styleId="CommentSubjectChar">
    <w:name w:val="Comment Subject Char"/>
    <w:basedOn w:val="CommentTextChar"/>
    <w:link w:val="CommentSubject"/>
    <w:uiPriority w:val="99"/>
    <w:semiHidden/>
    <w:rsid w:val="00DA071E"/>
    <w:rPr>
      <w:b/>
      <w:bCs/>
      <w:sz w:val="20"/>
      <w:szCs w:val="20"/>
    </w:rPr>
  </w:style>
  <w:style w:type="paragraph" w:styleId="Revision">
    <w:name w:val="Revision"/>
    <w:hidden/>
    <w:uiPriority w:val="99"/>
    <w:semiHidden/>
    <w:rsid w:val="00DA071E"/>
  </w:style>
  <w:style w:type="paragraph" w:styleId="BalloonText">
    <w:name w:val="Balloon Text"/>
    <w:basedOn w:val="Normal"/>
    <w:link w:val="BalloonTextChar"/>
    <w:uiPriority w:val="99"/>
    <w:semiHidden/>
    <w:unhideWhenUsed/>
    <w:rsid w:val="00DA071E"/>
    <w:rPr>
      <w:rFonts w:ascii="Tahoma" w:hAnsi="Tahoma" w:cs="Tahoma"/>
      <w:sz w:val="16"/>
      <w:szCs w:val="16"/>
    </w:rPr>
  </w:style>
  <w:style w:type="character" w:customStyle="1" w:styleId="BalloonTextChar">
    <w:name w:val="Balloon Text Char"/>
    <w:basedOn w:val="DefaultParagraphFont"/>
    <w:link w:val="BalloonText"/>
    <w:uiPriority w:val="99"/>
    <w:semiHidden/>
    <w:rsid w:val="00DA071E"/>
    <w:rPr>
      <w:rFonts w:ascii="Tahoma" w:hAnsi="Tahoma" w:cs="Tahoma"/>
      <w:sz w:val="16"/>
      <w:szCs w:val="16"/>
    </w:rPr>
  </w:style>
  <w:style w:type="paragraph" w:styleId="ListParagraph">
    <w:name w:val="List Paragraph"/>
    <w:basedOn w:val="Normal"/>
    <w:uiPriority w:val="34"/>
    <w:qFormat/>
    <w:rsid w:val="00F22376"/>
    <w:pPr>
      <w:spacing w:after="200" w:line="276" w:lineRule="auto"/>
      <w:ind w:left="720"/>
      <w:contextualSpacing/>
    </w:pPr>
    <w:rPr>
      <w:rFonts w:asciiTheme="minorHAnsi" w:hAnsiTheme="minorHAnsi" w:cstheme="minorBidi"/>
      <w:sz w:val="22"/>
      <w:szCs w:val="22"/>
    </w:rPr>
  </w:style>
  <w:style w:type="table" w:styleId="TableGrid">
    <w:name w:val="Table Grid"/>
    <w:basedOn w:val="TableNormal"/>
    <w:rsid w:val="00F2237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223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78633">
      <w:bodyDiv w:val="1"/>
      <w:marLeft w:val="0"/>
      <w:marRight w:val="0"/>
      <w:marTop w:val="0"/>
      <w:marBottom w:val="0"/>
      <w:divBdr>
        <w:top w:val="none" w:sz="0" w:space="0" w:color="auto"/>
        <w:left w:val="none" w:sz="0" w:space="0" w:color="auto"/>
        <w:bottom w:val="none" w:sz="0" w:space="0" w:color="auto"/>
        <w:right w:val="none" w:sz="0" w:space="0" w:color="auto"/>
      </w:divBdr>
    </w:div>
    <w:div w:id="651982034">
      <w:bodyDiv w:val="1"/>
      <w:marLeft w:val="0"/>
      <w:marRight w:val="0"/>
      <w:marTop w:val="0"/>
      <w:marBottom w:val="0"/>
      <w:divBdr>
        <w:top w:val="none" w:sz="0" w:space="0" w:color="auto"/>
        <w:left w:val="none" w:sz="0" w:space="0" w:color="auto"/>
        <w:bottom w:val="none" w:sz="0" w:space="0" w:color="auto"/>
        <w:right w:val="none" w:sz="0" w:space="0" w:color="auto"/>
      </w:divBdr>
    </w:div>
    <w:div w:id="909269358">
      <w:bodyDiv w:val="1"/>
      <w:marLeft w:val="0"/>
      <w:marRight w:val="0"/>
      <w:marTop w:val="0"/>
      <w:marBottom w:val="0"/>
      <w:divBdr>
        <w:top w:val="none" w:sz="0" w:space="0" w:color="auto"/>
        <w:left w:val="none" w:sz="0" w:space="0" w:color="auto"/>
        <w:bottom w:val="none" w:sz="0" w:space="0" w:color="auto"/>
        <w:right w:val="none" w:sz="0" w:space="0" w:color="auto"/>
      </w:divBdr>
    </w:div>
    <w:div w:id="139712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reseniuskabinutriti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1462</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Grace Squillaci</dc:creator>
  <cp:lastModifiedBy>Bernice Giebelhaus</cp:lastModifiedBy>
  <cp:revision>2</cp:revision>
  <dcterms:created xsi:type="dcterms:W3CDTF">2021-09-30T17:57:00Z</dcterms:created>
  <dcterms:modified xsi:type="dcterms:W3CDTF">2021-09-30T17:57:00Z</dcterms:modified>
</cp:coreProperties>
</file>